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116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4"/>
          <w:szCs w:val="24"/>
          <w:color w:val="auto"/>
        </w:rPr>
      </w:pPr>
    </w:p>
    <w:p>
      <w:pPr>
        <w:ind w:left="244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32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37" w:lineRule="exact"/>
        <w:rPr>
          <w:sz w:val="24"/>
          <w:szCs w:val="24"/>
          <w:color w:val="auto"/>
        </w:rPr>
      </w:pPr>
    </w:p>
    <w:p>
      <w:pPr>
        <w:ind w:left="3980"/>
        <w:spacing w:after="0"/>
        <w:rPr>
          <w:sz w:val="20"/>
          <w:szCs w:val="20"/>
          <w:color w:val="auto"/>
        </w:rPr>
      </w:pPr>
      <w:r>
        <w:rPr>
          <w:rFonts w:ascii="Calibri" w:cs="Calibri" w:eastAsia="Calibri" w:hAnsi="Calibri"/>
          <w:sz w:val="22"/>
          <w:szCs w:val="22"/>
          <w:b w:val="1"/>
          <w:bCs w:val="1"/>
          <w:color w:val="auto"/>
        </w:rPr>
        <w:t>Relazione illustrativa</w:t>
      </w:r>
    </w:p>
    <w:p>
      <w:pPr>
        <w:spacing w:after="0" w:line="2" w:lineRule="exact"/>
        <w:rPr>
          <w:sz w:val="24"/>
          <w:szCs w:val="24"/>
          <w:color w:val="auto"/>
        </w:rPr>
      </w:pPr>
    </w:p>
    <w:p>
      <w:pPr>
        <w:ind w:left="204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96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3" w:lineRule="exact"/>
        <w:rPr>
          <w:sz w:val="24"/>
          <w:szCs w:val="24"/>
          <w:color w:val="auto"/>
        </w:rPr>
      </w:pPr>
    </w:p>
    <w:p>
      <w:pPr>
        <w:jc w:val="both"/>
        <w:ind w:left="120"/>
        <w:spacing w:after="0" w:line="245" w:lineRule="auto"/>
        <w:rPr>
          <w:sz w:val="20"/>
          <w:szCs w:val="20"/>
          <w:color w:val="auto"/>
        </w:rPr>
      </w:pPr>
      <w:r>
        <w:rPr>
          <w:rFonts w:ascii="Calibri" w:cs="Calibri" w:eastAsia="Calibri" w:hAnsi="Calibri"/>
          <w:sz w:val="22"/>
          <w:szCs w:val="22"/>
          <w:b w:val="1"/>
          <w:bCs w:val="1"/>
          <w:color w:val="auto"/>
        </w:rPr>
        <w:t>Allegata all’Atto Unilaterale in materia di determinazione e utilizzazione del fondo regionale per la retribuzione di posizione e di risultato relative ai dirigenti scolastici in servizio nella regione Abruzzo - anno scolastico 2013-14.</w:t>
      </w:r>
    </w:p>
    <w:p>
      <w:pPr>
        <w:spacing w:after="0" w:line="200" w:lineRule="exact"/>
        <w:rPr>
          <w:sz w:val="24"/>
          <w:szCs w:val="24"/>
          <w:color w:val="auto"/>
        </w:rPr>
      </w:pPr>
    </w:p>
    <w:p>
      <w:pPr>
        <w:spacing w:after="0" w:line="200" w:lineRule="exact"/>
        <w:rPr>
          <w:sz w:val="24"/>
          <w:szCs w:val="24"/>
          <w:color w:val="auto"/>
        </w:rPr>
      </w:pPr>
    </w:p>
    <w:p>
      <w:pPr>
        <w:spacing w:after="0" w:line="216" w:lineRule="exact"/>
        <w:rPr>
          <w:sz w:val="24"/>
          <w:szCs w:val="24"/>
          <w:color w:val="auto"/>
        </w:rPr>
      </w:pPr>
    </w:p>
    <w:p>
      <w:pPr>
        <w:ind w:left="120"/>
        <w:spacing w:after="0"/>
        <w:rPr>
          <w:sz w:val="20"/>
          <w:szCs w:val="20"/>
          <w:color w:val="auto"/>
        </w:rPr>
      </w:pPr>
      <w:r>
        <w:rPr>
          <w:rFonts w:ascii="Calibri" w:cs="Calibri" w:eastAsia="Calibri" w:hAnsi="Calibri"/>
          <w:sz w:val="22"/>
          <w:szCs w:val="22"/>
          <w:b w:val="1"/>
          <w:bCs w:val="1"/>
          <w:i w:val="1"/>
          <w:iCs w:val="1"/>
          <w:color w:val="auto"/>
        </w:rPr>
        <w:t>I.1 - Obiettivi</w:t>
      </w:r>
    </w:p>
    <w:p>
      <w:pPr>
        <w:spacing w:after="0" w:line="391"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53340</wp:posOffset>
                </wp:positionH>
                <wp:positionV relativeFrom="paragraph">
                  <wp:posOffset>17780</wp:posOffset>
                </wp:positionV>
                <wp:extent cx="615696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96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pt,1.4pt" to="489pt,1.4pt" o:allowincell="f" strokecolor="#C0C0C0" strokeweight="0.4809pt"/>
            </w:pict>
          </mc:Fallback>
        </mc:AlternateContent>
      </w:r>
    </w:p>
    <w:p>
      <w:pPr>
        <w:ind w:left="4020"/>
        <w:spacing w:after="0"/>
        <w:rPr>
          <w:sz w:val="20"/>
          <w:szCs w:val="20"/>
          <w:color w:val="auto"/>
        </w:rPr>
      </w:pPr>
      <w:r>
        <w:rPr>
          <w:rFonts w:ascii="Calibri" w:cs="Calibri" w:eastAsia="Calibri" w:hAnsi="Calibri"/>
          <w:sz w:val="20"/>
          <w:szCs w:val="20"/>
          <w:b w:val="1"/>
          <w:bCs w:val="1"/>
          <w:i w:val="1"/>
          <w:iCs w:val="1"/>
          <w:color w:val="auto"/>
        </w:rPr>
        <w:t>Modulo 1 - Scheda 1.1</w:t>
      </w:r>
    </w:p>
    <w:p>
      <w:pPr>
        <w:spacing w:after="0" w:line="121" w:lineRule="exact"/>
        <w:rPr>
          <w:sz w:val="24"/>
          <w:szCs w:val="24"/>
          <w:color w:val="auto"/>
        </w:rPr>
      </w:pPr>
    </w:p>
    <w:p>
      <w:pPr>
        <w:ind w:left="3900" w:right="160" w:hanging="3633"/>
        <w:spacing w:after="0" w:line="249" w:lineRule="auto"/>
        <w:rPr>
          <w:sz w:val="20"/>
          <w:szCs w:val="20"/>
          <w:color w:val="auto"/>
        </w:rPr>
      </w:pPr>
      <w:r>
        <w:rPr>
          <w:rFonts w:ascii="Calibri" w:cs="Calibri" w:eastAsia="Calibri" w:hAnsi="Calibri"/>
          <w:sz w:val="20"/>
          <w:szCs w:val="20"/>
          <w:b w:val="1"/>
          <w:bCs w:val="1"/>
          <w:i w:val="1"/>
          <w:iCs w:val="1"/>
          <w:color w:val="auto"/>
        </w:rPr>
        <w:t>Illustrazione degli aspetti procedurali, sintesi del contenuto del provvedimento ed autodichiarazione relative agli adempimenti della legge</w:t>
      </w:r>
    </w:p>
    <w:p>
      <w:pPr>
        <w:spacing w:after="0" w:line="84" w:lineRule="exact"/>
        <w:rPr>
          <w:sz w:val="24"/>
          <w:szCs w:val="24"/>
          <w:color w:val="auto"/>
        </w:rPr>
      </w:pPr>
    </w:p>
    <w:tbl>
      <w:tblPr>
        <w:tblLayout w:type="fixed"/>
        <w:tblInd w:w="10" w:type="dxa"/>
        <w:tblCellMar>
          <w:top w:w="0" w:type="dxa"/>
          <w:left w:w="0" w:type="dxa"/>
          <w:bottom w:w="0" w:type="dxa"/>
          <w:right w:w="0" w:type="dxa"/>
        </w:tblCellMar>
      </w:tblPr>
      <w:tr>
        <w:trPr>
          <w:trHeight w:val="270"/>
        </w:trPr>
        <w:tc>
          <w:tcPr>
            <w:tcW w:w="3600" w:type="dxa"/>
            <w:vAlign w:val="bottom"/>
            <w:tcBorders>
              <w:top w:val="single" w:sz="8" w:color="auto"/>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Data di sottoscrizione</w:t>
            </w:r>
          </w:p>
        </w:tc>
        <w:tc>
          <w:tcPr>
            <w:tcW w:w="6020" w:type="dxa"/>
            <w:vAlign w:val="bottom"/>
            <w:tcBorders>
              <w:top w:val="single" w:sz="8" w:color="auto"/>
              <w:right w:val="single" w:sz="8" w:color="auto"/>
            </w:tcBorders>
          </w:tcPr>
          <w:p>
            <w:pPr>
              <w:ind w:left="140"/>
              <w:spacing w:after="0"/>
              <w:rPr>
                <w:sz w:val="20"/>
                <w:szCs w:val="20"/>
                <w:color w:val="auto"/>
              </w:rPr>
            </w:pPr>
            <w:r>
              <w:rPr>
                <w:rFonts w:ascii="Times New Roman" w:cs="Times New Roman" w:eastAsia="Times New Roman" w:hAnsi="Times New Roman"/>
                <w:sz w:val="20"/>
                <w:szCs w:val="20"/>
                <w:color w:val="auto"/>
              </w:rPr>
              <w:t>23 novembre 2016</w:t>
            </w:r>
          </w:p>
        </w:tc>
        <w:tc>
          <w:tcPr>
            <w:tcW w:w="0" w:type="dxa"/>
            <w:vAlign w:val="bottom"/>
          </w:tcPr>
          <w:p>
            <w:pPr>
              <w:spacing w:after="0"/>
              <w:rPr>
                <w:sz w:val="1"/>
                <w:szCs w:val="1"/>
                <w:color w:val="auto"/>
              </w:rPr>
            </w:pPr>
          </w:p>
        </w:tc>
      </w:tr>
      <w:tr>
        <w:trPr>
          <w:trHeight w:val="105"/>
        </w:trPr>
        <w:tc>
          <w:tcPr>
            <w:tcW w:w="1680" w:type="dxa"/>
            <w:vAlign w:val="bottom"/>
            <w:tcBorders>
              <w:left w:val="single" w:sz="8" w:color="auto"/>
              <w:bottom w:val="single" w:sz="8" w:color="auto"/>
            </w:tcBorders>
            <w:gridSpan w:val="3"/>
          </w:tcPr>
          <w:p>
            <w:pPr>
              <w:spacing w:after="0"/>
              <w:rPr>
                <w:sz w:val="9"/>
                <w:szCs w:val="9"/>
                <w:color w:val="auto"/>
              </w:rPr>
            </w:pPr>
          </w:p>
        </w:tc>
        <w:tc>
          <w:tcPr>
            <w:tcW w:w="1920" w:type="dxa"/>
            <w:vAlign w:val="bottom"/>
            <w:tcBorders>
              <w:bottom w:val="single" w:sz="8" w:color="auto"/>
              <w:right w:val="single" w:sz="8" w:color="auto"/>
            </w:tcBorders>
          </w:tcPr>
          <w:p>
            <w:pPr>
              <w:spacing w:after="0"/>
              <w:rPr>
                <w:sz w:val="9"/>
                <w:szCs w:val="9"/>
                <w:color w:val="auto"/>
              </w:rPr>
            </w:pPr>
          </w:p>
        </w:tc>
        <w:tc>
          <w:tcPr>
            <w:tcW w:w="602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77"/>
        </w:trPr>
        <w:tc>
          <w:tcPr>
            <w:tcW w:w="3600" w:type="dxa"/>
            <w:vAlign w:val="bottom"/>
            <w:tcBorders>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Periodo temporale di vigenza</w:t>
            </w: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Dal 1° settembre 2013 al 31 agosto 2014</w:t>
            </w:r>
          </w:p>
        </w:tc>
        <w:tc>
          <w:tcPr>
            <w:tcW w:w="0" w:type="dxa"/>
            <w:vAlign w:val="bottom"/>
          </w:tcPr>
          <w:p>
            <w:pPr>
              <w:spacing w:after="0"/>
              <w:rPr>
                <w:sz w:val="1"/>
                <w:szCs w:val="1"/>
                <w:color w:val="auto"/>
              </w:rPr>
            </w:pPr>
          </w:p>
        </w:tc>
      </w:tr>
      <w:tr>
        <w:trPr>
          <w:trHeight w:val="87"/>
        </w:trPr>
        <w:tc>
          <w:tcPr>
            <w:tcW w:w="460" w:type="dxa"/>
            <w:vAlign w:val="bottom"/>
            <w:tcBorders>
              <w:left w:val="single" w:sz="8" w:color="auto"/>
              <w:bottom w:val="single" w:sz="8" w:color="auto"/>
            </w:tcBorders>
          </w:tcPr>
          <w:p>
            <w:pPr>
              <w:spacing w:after="0"/>
              <w:rPr>
                <w:sz w:val="7"/>
                <w:szCs w:val="7"/>
                <w:color w:val="auto"/>
              </w:rPr>
            </w:pPr>
          </w:p>
        </w:tc>
        <w:tc>
          <w:tcPr>
            <w:tcW w:w="380" w:type="dxa"/>
            <w:vAlign w:val="bottom"/>
            <w:tcBorders>
              <w:bottom w:val="single" w:sz="8" w:color="auto"/>
            </w:tcBorders>
          </w:tcPr>
          <w:p>
            <w:pPr>
              <w:spacing w:after="0"/>
              <w:rPr>
                <w:sz w:val="7"/>
                <w:szCs w:val="7"/>
                <w:color w:val="auto"/>
              </w:rPr>
            </w:pPr>
          </w:p>
        </w:tc>
        <w:tc>
          <w:tcPr>
            <w:tcW w:w="840" w:type="dxa"/>
            <w:vAlign w:val="bottom"/>
            <w:tcBorders>
              <w:bottom w:val="single" w:sz="8" w:color="auto"/>
            </w:tcBorders>
          </w:tcPr>
          <w:p>
            <w:pPr>
              <w:spacing w:after="0"/>
              <w:rPr>
                <w:sz w:val="7"/>
                <w:szCs w:val="7"/>
                <w:color w:val="auto"/>
              </w:rPr>
            </w:pPr>
          </w:p>
        </w:tc>
        <w:tc>
          <w:tcPr>
            <w:tcW w:w="1920" w:type="dxa"/>
            <w:vAlign w:val="bottom"/>
            <w:tcBorders>
              <w:bottom w:val="single" w:sz="8" w:color="auto"/>
              <w:right w:val="single" w:sz="8" w:color="auto"/>
            </w:tcBorders>
          </w:tcPr>
          <w:p>
            <w:pPr>
              <w:spacing w:after="0"/>
              <w:rPr>
                <w:sz w:val="7"/>
                <w:szCs w:val="7"/>
                <w:color w:val="auto"/>
              </w:rPr>
            </w:pPr>
          </w:p>
        </w:tc>
        <w:tc>
          <w:tcPr>
            <w:tcW w:w="602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1"/>
        </w:trPr>
        <w:tc>
          <w:tcPr>
            <w:tcW w:w="460" w:type="dxa"/>
            <w:vAlign w:val="bottom"/>
            <w:tcBorders>
              <w:left w:val="single" w:sz="8" w:color="auto"/>
            </w:tcBorders>
          </w:tcPr>
          <w:p>
            <w:pPr>
              <w:spacing w:after="0"/>
              <w:rPr>
                <w:sz w:val="20"/>
                <w:szCs w:val="20"/>
                <w:color w:val="auto"/>
              </w:rPr>
            </w:pPr>
          </w:p>
        </w:tc>
        <w:tc>
          <w:tcPr>
            <w:tcW w:w="380" w:type="dxa"/>
            <w:vAlign w:val="bottom"/>
          </w:tcPr>
          <w:p>
            <w:pPr>
              <w:spacing w:after="0"/>
              <w:rPr>
                <w:sz w:val="20"/>
                <w:szCs w:val="20"/>
                <w:color w:val="auto"/>
              </w:rPr>
            </w:pPr>
          </w:p>
        </w:tc>
        <w:tc>
          <w:tcPr>
            <w:tcW w:w="840" w:type="dxa"/>
            <w:vAlign w:val="bottom"/>
          </w:tcPr>
          <w:p>
            <w:pPr>
              <w:spacing w:after="0"/>
              <w:rPr>
                <w:sz w:val="20"/>
                <w:szCs w:val="20"/>
                <w:color w:val="auto"/>
              </w:rPr>
            </w:pPr>
          </w:p>
        </w:tc>
        <w:tc>
          <w:tcPr>
            <w:tcW w:w="1920" w:type="dxa"/>
            <w:vAlign w:val="bottom"/>
            <w:tcBorders>
              <w:right w:val="single" w:sz="8" w:color="auto"/>
            </w:tcBorders>
          </w:tcPr>
          <w:p>
            <w:pPr>
              <w:spacing w:after="0"/>
              <w:rPr>
                <w:sz w:val="20"/>
                <w:szCs w:val="20"/>
                <w:color w:val="auto"/>
              </w:rPr>
            </w:pPr>
          </w:p>
        </w:tc>
        <w:tc>
          <w:tcPr>
            <w:tcW w:w="6020" w:type="dxa"/>
            <w:vAlign w:val="bottom"/>
            <w:tcBorders>
              <w:right w:val="single" w:sz="8" w:color="auto"/>
            </w:tcBorders>
          </w:tcPr>
          <w:p>
            <w:pPr>
              <w:ind w:left="100"/>
              <w:spacing w:after="0" w:line="241" w:lineRule="exact"/>
              <w:rPr>
                <w:sz w:val="20"/>
                <w:szCs w:val="20"/>
                <w:color w:val="auto"/>
              </w:rPr>
            </w:pPr>
            <w:r>
              <w:rPr>
                <w:rFonts w:ascii="Calibri" w:cs="Calibri" w:eastAsia="Calibri" w:hAnsi="Calibri"/>
                <w:sz w:val="20"/>
                <w:szCs w:val="20"/>
                <w:color w:val="auto"/>
              </w:rPr>
              <w:t>Parte Pubblica (ruoli/qualifiche ricoperti):</w:t>
            </w:r>
          </w:p>
        </w:tc>
        <w:tc>
          <w:tcPr>
            <w:tcW w:w="0" w:type="dxa"/>
            <w:vAlign w:val="bottom"/>
          </w:tcPr>
          <w:p>
            <w:pPr>
              <w:spacing w:after="0"/>
              <w:rPr>
                <w:sz w:val="1"/>
                <w:szCs w:val="1"/>
                <w:color w:val="auto"/>
              </w:rPr>
            </w:pPr>
          </w:p>
        </w:tc>
      </w:tr>
      <w:tr>
        <w:trPr>
          <w:trHeight w:val="378"/>
        </w:trPr>
        <w:tc>
          <w:tcPr>
            <w:tcW w:w="460" w:type="dxa"/>
            <w:vAlign w:val="bottom"/>
            <w:tcBorders>
              <w:left w:val="single" w:sz="8" w:color="auto"/>
            </w:tcBorders>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920" w:type="dxa"/>
            <w:vAlign w:val="bottom"/>
            <w:tcBorders>
              <w:right w:val="single" w:sz="8" w:color="auto"/>
            </w:tcBorders>
          </w:tcPr>
          <w:p>
            <w:pPr>
              <w:spacing w:after="0"/>
              <w:rPr>
                <w:sz w:val="24"/>
                <w:szCs w:val="24"/>
                <w:color w:val="auto"/>
              </w:rPr>
            </w:pP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413"/>
        </w:trPr>
        <w:tc>
          <w:tcPr>
            <w:tcW w:w="3600" w:type="dxa"/>
            <w:vAlign w:val="bottom"/>
            <w:tcBorders>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Composizione</w:t>
            </w:r>
          </w:p>
        </w:tc>
        <w:tc>
          <w:tcPr>
            <w:tcW w:w="602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ammesse alla contrattazione (elenco sigle):</w:t>
            </w:r>
          </w:p>
        </w:tc>
        <w:tc>
          <w:tcPr>
            <w:tcW w:w="0" w:type="dxa"/>
            <w:vAlign w:val="bottom"/>
          </w:tcPr>
          <w:p>
            <w:pPr>
              <w:spacing w:after="0"/>
              <w:rPr>
                <w:sz w:val="1"/>
                <w:szCs w:val="1"/>
                <w:color w:val="auto"/>
              </w:rPr>
            </w:pPr>
          </w:p>
        </w:tc>
      </w:tr>
      <w:tr>
        <w:trPr>
          <w:trHeight w:val="324"/>
        </w:trPr>
        <w:tc>
          <w:tcPr>
            <w:tcW w:w="3600" w:type="dxa"/>
            <w:vAlign w:val="bottom"/>
            <w:tcBorders>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della delegazione trattante</w:t>
            </w: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356"/>
        </w:trPr>
        <w:tc>
          <w:tcPr>
            <w:tcW w:w="460" w:type="dxa"/>
            <w:vAlign w:val="bottom"/>
            <w:tcBorders>
              <w:left w:val="single" w:sz="8" w:color="auto"/>
            </w:tcBorders>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920" w:type="dxa"/>
            <w:vAlign w:val="bottom"/>
            <w:tcBorders>
              <w:right w:val="single" w:sz="8" w:color="auto"/>
            </w:tcBorders>
          </w:tcPr>
          <w:p>
            <w:pPr>
              <w:spacing w:after="0"/>
              <w:rPr>
                <w:sz w:val="24"/>
                <w:szCs w:val="24"/>
                <w:color w:val="auto"/>
              </w:rPr>
            </w:pPr>
          </w:p>
        </w:tc>
        <w:tc>
          <w:tcPr>
            <w:tcW w:w="602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firmatarie (elenco sigle):</w:t>
            </w:r>
          </w:p>
        </w:tc>
        <w:tc>
          <w:tcPr>
            <w:tcW w:w="0" w:type="dxa"/>
            <w:vAlign w:val="bottom"/>
          </w:tcPr>
          <w:p>
            <w:pPr>
              <w:spacing w:after="0"/>
              <w:rPr>
                <w:sz w:val="1"/>
                <w:szCs w:val="1"/>
                <w:color w:val="auto"/>
              </w:rPr>
            </w:pPr>
          </w:p>
        </w:tc>
      </w:tr>
      <w:tr>
        <w:trPr>
          <w:trHeight w:val="380"/>
        </w:trPr>
        <w:tc>
          <w:tcPr>
            <w:tcW w:w="460" w:type="dxa"/>
            <w:vAlign w:val="bottom"/>
            <w:tcBorders>
              <w:left w:val="single" w:sz="8" w:color="auto"/>
            </w:tcBorders>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920" w:type="dxa"/>
            <w:vAlign w:val="bottom"/>
            <w:tcBorders>
              <w:right w:val="single" w:sz="8" w:color="auto"/>
            </w:tcBorders>
          </w:tcPr>
          <w:p>
            <w:pPr>
              <w:spacing w:after="0"/>
              <w:rPr>
                <w:sz w:val="24"/>
                <w:szCs w:val="24"/>
                <w:color w:val="auto"/>
              </w:rPr>
            </w:pP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107"/>
        </w:trPr>
        <w:tc>
          <w:tcPr>
            <w:tcW w:w="460" w:type="dxa"/>
            <w:vAlign w:val="bottom"/>
            <w:tcBorders>
              <w:left w:val="single" w:sz="8" w:color="auto"/>
              <w:bottom w:val="single" w:sz="8" w:color="auto"/>
            </w:tcBorders>
          </w:tcPr>
          <w:p>
            <w:pPr>
              <w:spacing w:after="0"/>
              <w:rPr>
                <w:sz w:val="9"/>
                <w:szCs w:val="9"/>
                <w:color w:val="auto"/>
              </w:rPr>
            </w:pPr>
          </w:p>
        </w:tc>
        <w:tc>
          <w:tcPr>
            <w:tcW w:w="380" w:type="dxa"/>
            <w:vAlign w:val="bottom"/>
            <w:tcBorders>
              <w:bottom w:val="single" w:sz="8" w:color="auto"/>
            </w:tcBorders>
          </w:tcPr>
          <w:p>
            <w:pPr>
              <w:spacing w:after="0"/>
              <w:rPr>
                <w:sz w:val="9"/>
                <w:szCs w:val="9"/>
                <w:color w:val="auto"/>
              </w:rPr>
            </w:pPr>
          </w:p>
        </w:tc>
        <w:tc>
          <w:tcPr>
            <w:tcW w:w="840" w:type="dxa"/>
            <w:vAlign w:val="bottom"/>
            <w:tcBorders>
              <w:bottom w:val="single" w:sz="8" w:color="auto"/>
            </w:tcBorders>
          </w:tcPr>
          <w:p>
            <w:pPr>
              <w:spacing w:after="0"/>
              <w:rPr>
                <w:sz w:val="9"/>
                <w:szCs w:val="9"/>
                <w:color w:val="auto"/>
              </w:rPr>
            </w:pPr>
          </w:p>
        </w:tc>
        <w:tc>
          <w:tcPr>
            <w:tcW w:w="1920" w:type="dxa"/>
            <w:vAlign w:val="bottom"/>
            <w:tcBorders>
              <w:bottom w:val="single" w:sz="8" w:color="auto"/>
              <w:right w:val="single" w:sz="8" w:color="auto"/>
            </w:tcBorders>
          </w:tcPr>
          <w:p>
            <w:pPr>
              <w:spacing w:after="0"/>
              <w:rPr>
                <w:sz w:val="9"/>
                <w:szCs w:val="9"/>
                <w:color w:val="auto"/>
              </w:rPr>
            </w:pPr>
          </w:p>
        </w:tc>
        <w:tc>
          <w:tcPr>
            <w:tcW w:w="602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3600" w:type="dxa"/>
            <w:vAlign w:val="bottom"/>
            <w:tcBorders>
              <w:left w:val="single" w:sz="8" w:color="auto"/>
              <w:right w:val="single" w:sz="8" w:color="auto"/>
            </w:tcBorders>
            <w:gridSpan w:val="4"/>
            <w:vMerge w:val="restart"/>
          </w:tcPr>
          <w:p>
            <w:pPr>
              <w:ind w:left="120"/>
              <w:spacing w:after="0"/>
              <w:rPr>
                <w:sz w:val="20"/>
                <w:szCs w:val="20"/>
                <w:color w:val="auto"/>
              </w:rPr>
            </w:pPr>
            <w:r>
              <w:rPr>
                <w:rFonts w:ascii="Calibri" w:cs="Calibri" w:eastAsia="Calibri" w:hAnsi="Calibri"/>
                <w:sz w:val="20"/>
                <w:szCs w:val="20"/>
                <w:b w:val="1"/>
                <w:bCs w:val="1"/>
                <w:color w:val="auto"/>
              </w:rPr>
              <w:t>Soggetti destinatari</w:t>
            </w:r>
          </w:p>
        </w:tc>
        <w:tc>
          <w:tcPr>
            <w:tcW w:w="602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Dirigenti scolastici della regione ABRUZZO in servizio nell’a.s.</w:t>
            </w:r>
          </w:p>
        </w:tc>
        <w:tc>
          <w:tcPr>
            <w:tcW w:w="0" w:type="dxa"/>
            <w:vAlign w:val="bottom"/>
          </w:tcPr>
          <w:p>
            <w:pPr>
              <w:spacing w:after="0"/>
              <w:rPr>
                <w:sz w:val="1"/>
                <w:szCs w:val="1"/>
                <w:color w:val="auto"/>
              </w:rPr>
            </w:pPr>
          </w:p>
        </w:tc>
      </w:tr>
      <w:tr>
        <w:trPr>
          <w:trHeight w:val="150"/>
        </w:trPr>
        <w:tc>
          <w:tcPr>
            <w:tcW w:w="3600" w:type="dxa"/>
            <w:vAlign w:val="bottom"/>
            <w:tcBorders>
              <w:left w:val="single" w:sz="8" w:color="auto"/>
              <w:right w:val="single" w:sz="8" w:color="auto"/>
            </w:tcBorders>
            <w:gridSpan w:val="4"/>
            <w:vMerge w:val="continue"/>
          </w:tcPr>
          <w:p>
            <w:pPr>
              <w:spacing w:after="0"/>
              <w:rPr>
                <w:sz w:val="13"/>
                <w:szCs w:val="13"/>
                <w:color w:val="auto"/>
              </w:rPr>
            </w:pPr>
          </w:p>
        </w:tc>
        <w:tc>
          <w:tcPr>
            <w:tcW w:w="602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2013/2014</w:t>
            </w:r>
          </w:p>
        </w:tc>
        <w:tc>
          <w:tcPr>
            <w:tcW w:w="0" w:type="dxa"/>
            <w:vAlign w:val="bottom"/>
          </w:tcPr>
          <w:p>
            <w:pPr>
              <w:spacing w:after="0"/>
              <w:rPr>
                <w:sz w:val="1"/>
                <w:szCs w:val="1"/>
                <w:color w:val="auto"/>
              </w:rPr>
            </w:pPr>
          </w:p>
        </w:tc>
      </w:tr>
      <w:tr>
        <w:trPr>
          <w:trHeight w:val="138"/>
        </w:trPr>
        <w:tc>
          <w:tcPr>
            <w:tcW w:w="460" w:type="dxa"/>
            <w:vAlign w:val="bottom"/>
            <w:tcBorders>
              <w:left w:val="single" w:sz="8" w:color="auto"/>
            </w:tcBorders>
          </w:tcPr>
          <w:p>
            <w:pPr>
              <w:spacing w:after="0"/>
              <w:rPr>
                <w:sz w:val="12"/>
                <w:szCs w:val="12"/>
                <w:color w:val="auto"/>
              </w:rPr>
            </w:pPr>
          </w:p>
        </w:tc>
        <w:tc>
          <w:tcPr>
            <w:tcW w:w="380" w:type="dxa"/>
            <w:vAlign w:val="bottom"/>
          </w:tcPr>
          <w:p>
            <w:pPr>
              <w:spacing w:after="0"/>
              <w:rPr>
                <w:sz w:val="12"/>
                <w:szCs w:val="12"/>
                <w:color w:val="auto"/>
              </w:rPr>
            </w:pPr>
          </w:p>
        </w:tc>
        <w:tc>
          <w:tcPr>
            <w:tcW w:w="840" w:type="dxa"/>
            <w:vAlign w:val="bottom"/>
          </w:tcPr>
          <w:p>
            <w:pPr>
              <w:spacing w:after="0"/>
              <w:rPr>
                <w:sz w:val="12"/>
                <w:szCs w:val="12"/>
                <w:color w:val="auto"/>
              </w:rPr>
            </w:pPr>
          </w:p>
        </w:tc>
        <w:tc>
          <w:tcPr>
            <w:tcW w:w="1920" w:type="dxa"/>
            <w:vAlign w:val="bottom"/>
            <w:tcBorders>
              <w:right w:val="single" w:sz="8" w:color="auto"/>
            </w:tcBorders>
          </w:tcPr>
          <w:p>
            <w:pPr>
              <w:spacing w:after="0"/>
              <w:rPr>
                <w:sz w:val="12"/>
                <w:szCs w:val="12"/>
                <w:color w:val="auto"/>
              </w:rPr>
            </w:pPr>
          </w:p>
        </w:tc>
        <w:tc>
          <w:tcPr>
            <w:tcW w:w="6020" w:type="dxa"/>
            <w:vAlign w:val="bottom"/>
            <w:tcBorders>
              <w:right w:val="single" w:sz="8" w:color="auto"/>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7"/>
        </w:trPr>
        <w:tc>
          <w:tcPr>
            <w:tcW w:w="460" w:type="dxa"/>
            <w:vAlign w:val="bottom"/>
            <w:tcBorders>
              <w:left w:val="single" w:sz="8" w:color="auto"/>
              <w:bottom w:val="single" w:sz="8" w:color="auto"/>
            </w:tcBorders>
          </w:tcPr>
          <w:p>
            <w:pPr>
              <w:spacing w:after="0"/>
              <w:rPr>
                <w:sz w:val="9"/>
                <w:szCs w:val="9"/>
                <w:color w:val="auto"/>
              </w:rPr>
            </w:pPr>
          </w:p>
        </w:tc>
        <w:tc>
          <w:tcPr>
            <w:tcW w:w="380" w:type="dxa"/>
            <w:vAlign w:val="bottom"/>
            <w:tcBorders>
              <w:bottom w:val="single" w:sz="8" w:color="auto"/>
            </w:tcBorders>
          </w:tcPr>
          <w:p>
            <w:pPr>
              <w:spacing w:after="0"/>
              <w:rPr>
                <w:sz w:val="9"/>
                <w:szCs w:val="9"/>
                <w:color w:val="auto"/>
              </w:rPr>
            </w:pPr>
          </w:p>
        </w:tc>
        <w:tc>
          <w:tcPr>
            <w:tcW w:w="840" w:type="dxa"/>
            <w:vAlign w:val="bottom"/>
            <w:tcBorders>
              <w:bottom w:val="single" w:sz="8" w:color="auto"/>
            </w:tcBorders>
          </w:tcPr>
          <w:p>
            <w:pPr>
              <w:spacing w:after="0"/>
              <w:rPr>
                <w:sz w:val="9"/>
                <w:szCs w:val="9"/>
                <w:color w:val="auto"/>
              </w:rPr>
            </w:pPr>
          </w:p>
        </w:tc>
        <w:tc>
          <w:tcPr>
            <w:tcW w:w="1920" w:type="dxa"/>
            <w:vAlign w:val="bottom"/>
            <w:tcBorders>
              <w:bottom w:val="single" w:sz="8" w:color="auto"/>
              <w:right w:val="single" w:sz="8" w:color="auto"/>
            </w:tcBorders>
          </w:tcPr>
          <w:p>
            <w:pPr>
              <w:spacing w:after="0"/>
              <w:rPr>
                <w:sz w:val="9"/>
                <w:szCs w:val="9"/>
                <w:color w:val="auto"/>
              </w:rPr>
            </w:pPr>
          </w:p>
        </w:tc>
        <w:tc>
          <w:tcPr>
            <w:tcW w:w="602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460" w:type="dxa"/>
            <w:vAlign w:val="bottom"/>
            <w:tcBorders>
              <w:left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840" w:type="dxa"/>
            <w:vAlign w:val="bottom"/>
          </w:tcPr>
          <w:p>
            <w:pPr>
              <w:spacing w:after="0"/>
              <w:rPr>
                <w:sz w:val="19"/>
                <w:szCs w:val="19"/>
                <w:color w:val="auto"/>
              </w:rPr>
            </w:pPr>
          </w:p>
        </w:tc>
        <w:tc>
          <w:tcPr>
            <w:tcW w:w="1920" w:type="dxa"/>
            <w:vAlign w:val="bottom"/>
            <w:tcBorders>
              <w:right w:val="single" w:sz="8" w:color="auto"/>
            </w:tcBorders>
          </w:tcPr>
          <w:p>
            <w:pPr>
              <w:spacing w:after="0"/>
              <w:rPr>
                <w:sz w:val="19"/>
                <w:szCs w:val="19"/>
                <w:color w:val="auto"/>
              </w:rPr>
            </w:pPr>
          </w:p>
        </w:tc>
        <w:tc>
          <w:tcPr>
            <w:tcW w:w="602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Criteri e modalità di utilizzazione del Fondo regionale per la</w:t>
            </w:r>
          </w:p>
        </w:tc>
        <w:tc>
          <w:tcPr>
            <w:tcW w:w="0" w:type="dxa"/>
            <w:vAlign w:val="bottom"/>
          </w:tcPr>
          <w:p>
            <w:pPr>
              <w:spacing w:after="0"/>
              <w:rPr>
                <w:sz w:val="1"/>
                <w:szCs w:val="1"/>
                <w:color w:val="auto"/>
              </w:rPr>
            </w:pPr>
          </w:p>
        </w:tc>
      </w:tr>
      <w:tr>
        <w:trPr>
          <w:trHeight w:val="252"/>
        </w:trPr>
        <w:tc>
          <w:tcPr>
            <w:tcW w:w="3600" w:type="dxa"/>
            <w:vAlign w:val="bottom"/>
            <w:tcBorders>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 xml:space="preserve">Materie trattate dal </w:t>
            </w:r>
            <w:r>
              <w:rPr>
                <w:rFonts w:ascii="Calibri" w:cs="Calibri" w:eastAsia="Calibri" w:hAnsi="Calibri"/>
                <w:sz w:val="20"/>
                <w:szCs w:val="20"/>
                <w:b w:val="1"/>
                <w:bCs w:val="1"/>
                <w:i w:val="1"/>
                <w:iCs w:val="1"/>
                <w:color w:val="auto"/>
              </w:rPr>
              <w:t>provvedimento</w:t>
            </w:r>
          </w:p>
        </w:tc>
        <w:tc>
          <w:tcPr>
            <w:tcW w:w="6020" w:type="dxa"/>
            <w:vAlign w:val="bottom"/>
            <w:tcBorders>
              <w:right w:val="single" w:sz="8" w:color="auto"/>
            </w:tcBorders>
          </w:tcPr>
          <w:p>
            <w:pPr>
              <w:ind w:left="100"/>
              <w:spacing w:after="0" w:line="252" w:lineRule="exact"/>
              <w:rPr>
                <w:sz w:val="20"/>
                <w:szCs w:val="20"/>
                <w:color w:val="auto"/>
              </w:rPr>
            </w:pPr>
            <w:r>
              <w:rPr>
                <w:rFonts w:ascii="Times New Roman" w:cs="Times New Roman" w:eastAsia="Times New Roman" w:hAnsi="Times New Roman"/>
                <w:sz w:val="22"/>
                <w:szCs w:val="22"/>
                <w:color w:val="auto"/>
              </w:rPr>
              <w:t>determinazione della retribuzione di posizione e di risultato</w:t>
            </w:r>
          </w:p>
        </w:tc>
        <w:tc>
          <w:tcPr>
            <w:tcW w:w="0" w:type="dxa"/>
            <w:vAlign w:val="bottom"/>
          </w:tcPr>
          <w:p>
            <w:pPr>
              <w:spacing w:after="0"/>
              <w:rPr>
                <w:sz w:val="1"/>
                <w:szCs w:val="1"/>
                <w:color w:val="auto"/>
              </w:rPr>
            </w:pPr>
          </w:p>
        </w:tc>
      </w:tr>
      <w:tr>
        <w:trPr>
          <w:trHeight w:val="254"/>
        </w:trPr>
        <w:tc>
          <w:tcPr>
            <w:tcW w:w="3600" w:type="dxa"/>
            <w:vAlign w:val="bottom"/>
            <w:tcBorders>
              <w:left w:val="single" w:sz="8" w:color="auto"/>
              <w:right w:val="single" w:sz="8" w:color="auto"/>
            </w:tcBorders>
            <w:gridSpan w:val="4"/>
          </w:tcPr>
          <w:p>
            <w:pPr>
              <w:ind w:left="120"/>
              <w:spacing w:after="0"/>
              <w:rPr>
                <w:sz w:val="20"/>
                <w:szCs w:val="20"/>
                <w:color w:val="auto"/>
              </w:rPr>
            </w:pPr>
            <w:r>
              <w:rPr>
                <w:rFonts w:ascii="Calibri" w:cs="Calibri" w:eastAsia="Calibri" w:hAnsi="Calibri"/>
                <w:sz w:val="20"/>
                <w:szCs w:val="20"/>
                <w:b w:val="1"/>
                <w:bCs w:val="1"/>
                <w:color w:val="auto"/>
              </w:rPr>
              <w:t>(descrizione sintetica)</w:t>
            </w: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spettante ai Dirigenti Scolastici della regione Abruzzo in servizio</w:t>
            </w:r>
          </w:p>
        </w:tc>
        <w:tc>
          <w:tcPr>
            <w:tcW w:w="0" w:type="dxa"/>
            <w:vAlign w:val="bottom"/>
          </w:tcPr>
          <w:p>
            <w:pPr>
              <w:spacing w:after="0"/>
              <w:rPr>
                <w:sz w:val="1"/>
                <w:szCs w:val="1"/>
                <w:color w:val="auto"/>
              </w:rPr>
            </w:pPr>
          </w:p>
        </w:tc>
      </w:tr>
      <w:tr>
        <w:trPr>
          <w:trHeight w:val="288"/>
        </w:trPr>
        <w:tc>
          <w:tcPr>
            <w:tcW w:w="460" w:type="dxa"/>
            <w:vAlign w:val="bottom"/>
            <w:tcBorders>
              <w:left w:val="single" w:sz="8" w:color="auto"/>
            </w:tcBorders>
          </w:tcPr>
          <w:p>
            <w:pPr>
              <w:spacing w:after="0"/>
              <w:rPr>
                <w:sz w:val="24"/>
                <w:szCs w:val="24"/>
                <w:color w:val="auto"/>
              </w:rPr>
            </w:pPr>
          </w:p>
        </w:tc>
        <w:tc>
          <w:tcPr>
            <w:tcW w:w="380" w:type="dxa"/>
            <w:vAlign w:val="bottom"/>
          </w:tcPr>
          <w:p>
            <w:pPr>
              <w:spacing w:after="0"/>
              <w:rPr>
                <w:sz w:val="24"/>
                <w:szCs w:val="24"/>
                <w:color w:val="auto"/>
              </w:rPr>
            </w:pPr>
          </w:p>
        </w:tc>
        <w:tc>
          <w:tcPr>
            <w:tcW w:w="840" w:type="dxa"/>
            <w:vAlign w:val="bottom"/>
          </w:tcPr>
          <w:p>
            <w:pPr>
              <w:spacing w:after="0"/>
              <w:rPr>
                <w:sz w:val="24"/>
                <w:szCs w:val="24"/>
                <w:color w:val="auto"/>
              </w:rPr>
            </w:pPr>
          </w:p>
        </w:tc>
        <w:tc>
          <w:tcPr>
            <w:tcW w:w="1920" w:type="dxa"/>
            <w:vAlign w:val="bottom"/>
            <w:tcBorders>
              <w:right w:val="single" w:sz="8" w:color="auto"/>
            </w:tcBorders>
          </w:tcPr>
          <w:p>
            <w:pPr>
              <w:spacing w:after="0"/>
              <w:rPr>
                <w:sz w:val="24"/>
                <w:szCs w:val="24"/>
                <w:color w:val="auto"/>
              </w:rPr>
            </w:pPr>
          </w:p>
        </w:tc>
        <w:tc>
          <w:tcPr>
            <w:tcW w:w="602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nell’a.s. 2013/2014..</w:t>
            </w:r>
          </w:p>
        </w:tc>
        <w:tc>
          <w:tcPr>
            <w:tcW w:w="0" w:type="dxa"/>
            <w:vAlign w:val="bottom"/>
          </w:tcPr>
          <w:p>
            <w:pPr>
              <w:spacing w:after="0"/>
              <w:rPr>
                <w:sz w:val="1"/>
                <w:szCs w:val="1"/>
                <w:color w:val="auto"/>
              </w:rPr>
            </w:pPr>
          </w:p>
        </w:tc>
      </w:tr>
      <w:tr>
        <w:trPr>
          <w:trHeight w:val="107"/>
        </w:trPr>
        <w:tc>
          <w:tcPr>
            <w:tcW w:w="460" w:type="dxa"/>
            <w:vAlign w:val="bottom"/>
            <w:tcBorders>
              <w:left w:val="single" w:sz="8" w:color="auto"/>
              <w:bottom w:val="single" w:sz="8" w:color="auto"/>
            </w:tcBorders>
          </w:tcPr>
          <w:p>
            <w:pPr>
              <w:spacing w:after="0"/>
              <w:rPr>
                <w:sz w:val="9"/>
                <w:szCs w:val="9"/>
                <w:color w:val="auto"/>
              </w:rPr>
            </w:pPr>
          </w:p>
        </w:tc>
        <w:tc>
          <w:tcPr>
            <w:tcW w:w="380" w:type="dxa"/>
            <w:vAlign w:val="bottom"/>
            <w:tcBorders>
              <w:bottom w:val="single" w:sz="8" w:color="auto"/>
            </w:tcBorders>
          </w:tcPr>
          <w:p>
            <w:pPr>
              <w:spacing w:after="0"/>
              <w:rPr>
                <w:sz w:val="9"/>
                <w:szCs w:val="9"/>
                <w:color w:val="auto"/>
              </w:rPr>
            </w:pPr>
          </w:p>
        </w:tc>
        <w:tc>
          <w:tcPr>
            <w:tcW w:w="840" w:type="dxa"/>
            <w:vAlign w:val="bottom"/>
            <w:tcBorders>
              <w:bottom w:val="single" w:sz="8" w:color="auto"/>
            </w:tcBorders>
          </w:tcPr>
          <w:p>
            <w:pPr>
              <w:spacing w:after="0"/>
              <w:rPr>
                <w:sz w:val="9"/>
                <w:szCs w:val="9"/>
                <w:color w:val="auto"/>
              </w:rPr>
            </w:pPr>
          </w:p>
        </w:tc>
        <w:tc>
          <w:tcPr>
            <w:tcW w:w="1920" w:type="dxa"/>
            <w:vAlign w:val="bottom"/>
            <w:tcBorders>
              <w:bottom w:val="single" w:sz="8" w:color="auto"/>
              <w:right w:val="single" w:sz="8" w:color="auto"/>
            </w:tcBorders>
          </w:tcPr>
          <w:p>
            <w:pPr>
              <w:spacing w:after="0"/>
              <w:rPr>
                <w:sz w:val="9"/>
                <w:szCs w:val="9"/>
                <w:color w:val="auto"/>
              </w:rPr>
            </w:pPr>
          </w:p>
        </w:tc>
        <w:tc>
          <w:tcPr>
            <w:tcW w:w="602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31"/>
        </w:trPr>
        <w:tc>
          <w:tcPr>
            <w:tcW w:w="460" w:type="dxa"/>
            <w:vAlign w:val="bottom"/>
            <w:tcBorders>
              <w:left w:val="single" w:sz="8" w:color="auto"/>
            </w:tcBorders>
          </w:tcPr>
          <w:p>
            <w:pPr>
              <w:spacing w:after="0"/>
              <w:rPr>
                <w:sz w:val="20"/>
                <w:szCs w:val="20"/>
                <w:color w:val="auto"/>
              </w:rPr>
            </w:pPr>
          </w:p>
        </w:tc>
        <w:tc>
          <w:tcPr>
            <w:tcW w:w="380" w:type="dxa"/>
            <w:vAlign w:val="bottom"/>
            <w:vMerge w:val="restart"/>
            <w:textDirection w:val="btLr"/>
          </w:tcPr>
          <w:p>
            <w:pPr>
              <w:ind w:left="107"/>
              <w:spacing w:after="0"/>
              <w:rPr>
                <w:sz w:val="20"/>
                <w:szCs w:val="20"/>
                <w:color w:val="auto"/>
              </w:rPr>
            </w:pPr>
            <w:r>
              <w:rPr>
                <w:rFonts w:ascii="Calibri" w:cs="Calibri" w:eastAsia="Calibri" w:hAnsi="Calibri"/>
                <w:sz w:val="20"/>
                <w:szCs w:val="20"/>
                <w:b w:val="1"/>
                <w:bCs w:val="1"/>
                <w:color w:val="auto"/>
                <w:w w:val="99"/>
              </w:rPr>
              <w:t>adempimenti procedurale</w:t>
            </w:r>
          </w:p>
        </w:tc>
        <w:tc>
          <w:tcPr>
            <w:tcW w:w="840" w:type="dxa"/>
            <w:vAlign w:val="bottom"/>
            <w:tcBorders>
              <w:right w:val="single" w:sz="8" w:color="auto"/>
            </w:tcBorders>
            <w:vMerge w:val="restart"/>
            <w:textDirection w:val="btLr"/>
          </w:tcPr>
          <w:p>
            <w:pPr>
              <w:ind w:left="661"/>
              <w:spacing w:after="0"/>
              <w:rPr>
                <w:sz w:val="20"/>
                <w:szCs w:val="20"/>
                <w:color w:val="auto"/>
              </w:rPr>
            </w:pPr>
            <w:r>
              <w:rPr>
                <w:rFonts w:ascii="Calibri" w:cs="Calibri" w:eastAsia="Calibri" w:hAnsi="Calibri"/>
                <w:sz w:val="13"/>
                <w:szCs w:val="13"/>
                <w:b w:val="1"/>
                <w:bCs w:val="1"/>
                <w:color w:val="auto"/>
                <w:w w:val="73"/>
              </w:rPr>
              <w:t>e degli atti propedeutici esuccessiviallacontrattazione</w:t>
            </w:r>
          </w:p>
        </w:tc>
        <w:tc>
          <w:tcPr>
            <w:tcW w:w="1920" w:type="dxa"/>
            <w:vAlign w:val="bottom"/>
            <w:tcBorders>
              <w:right w:val="single" w:sz="8" w:color="auto"/>
            </w:tcBorders>
          </w:tcPr>
          <w:p>
            <w:pPr>
              <w:ind w:left="80"/>
              <w:spacing w:after="0" w:line="230" w:lineRule="exact"/>
              <w:rPr>
                <w:sz w:val="20"/>
                <w:szCs w:val="20"/>
                <w:color w:val="auto"/>
              </w:rPr>
            </w:pPr>
            <w:r>
              <w:rPr>
                <w:rFonts w:ascii="Calibri" w:cs="Calibri" w:eastAsia="Calibri" w:hAnsi="Calibri"/>
                <w:sz w:val="20"/>
                <w:szCs w:val="20"/>
                <w:b w:val="1"/>
                <w:bCs w:val="1"/>
                <w:color w:val="auto"/>
              </w:rPr>
              <w:t>Intervento</w:t>
            </w:r>
          </w:p>
        </w:tc>
        <w:tc>
          <w:tcPr>
            <w:tcW w:w="6020" w:type="dxa"/>
            <w:vAlign w:val="bottom"/>
            <w:tcBorders>
              <w:right w:val="single" w:sz="8" w:color="auto"/>
            </w:tcBorders>
            <w:vMerge w:val="restart"/>
          </w:tcPr>
          <w:p>
            <w:pPr>
              <w:ind w:left="100"/>
              <w:spacing w:after="0"/>
              <w:rPr>
                <w:sz w:val="20"/>
                <w:szCs w:val="20"/>
                <w:color w:val="auto"/>
              </w:rPr>
            </w:pPr>
            <w:r>
              <w:rPr>
                <w:rFonts w:ascii="Calibri" w:cs="Calibri" w:eastAsia="Calibri" w:hAnsi="Calibri"/>
                <w:sz w:val="20"/>
                <w:szCs w:val="20"/>
                <w:color w:val="auto"/>
              </w:rPr>
              <w:t>È stata acquisita la certificazione dell’Organo di controllo interno</w:t>
            </w:r>
          </w:p>
        </w:tc>
        <w:tc>
          <w:tcPr>
            <w:tcW w:w="0" w:type="dxa"/>
            <w:vAlign w:val="bottom"/>
          </w:tcPr>
          <w:p>
            <w:pPr>
              <w:spacing w:after="0"/>
              <w:rPr>
                <w:sz w:val="1"/>
                <w:szCs w:val="1"/>
                <w:color w:val="auto"/>
              </w:rPr>
            </w:pPr>
          </w:p>
        </w:tc>
      </w:tr>
      <w:tr>
        <w:trPr>
          <w:trHeight w:val="245"/>
        </w:trPr>
        <w:tc>
          <w:tcPr>
            <w:tcW w:w="460" w:type="dxa"/>
            <w:vAlign w:val="bottom"/>
            <w:tcBorders>
              <w:left w:val="single" w:sz="8" w:color="auto"/>
            </w:tcBorders>
            <w:vMerge w:val="restart"/>
            <w:textDirection w:val="btLr"/>
          </w:tcPr>
          <w:p>
            <w:pPr>
              <w:ind w:left="195"/>
              <w:spacing w:after="0"/>
              <w:rPr>
                <w:sz w:val="20"/>
                <w:szCs w:val="20"/>
                <w:color w:val="auto"/>
              </w:rPr>
            </w:pPr>
            <w:r>
              <w:rPr>
                <w:rFonts w:ascii="Calibri" w:cs="Calibri" w:eastAsia="Calibri" w:hAnsi="Calibri"/>
                <w:sz w:val="20"/>
                <w:szCs w:val="20"/>
                <w:b w:val="1"/>
                <w:bCs w:val="1"/>
                <w:color w:val="auto"/>
                <w:w w:val="99"/>
              </w:rPr>
              <w:t>Rispetto dell’iter</w:t>
            </w:r>
          </w:p>
        </w:tc>
        <w:tc>
          <w:tcPr>
            <w:tcW w:w="380" w:type="dxa"/>
            <w:vAlign w:val="bottom"/>
            <w:vMerge w:val="continue"/>
          </w:tcPr>
          <w:p>
            <w:pPr>
              <w:spacing w:after="0"/>
              <w:rPr>
                <w:sz w:val="21"/>
                <w:szCs w:val="21"/>
                <w:color w:val="auto"/>
              </w:rPr>
            </w:pPr>
          </w:p>
        </w:tc>
        <w:tc>
          <w:tcPr>
            <w:tcW w:w="840" w:type="dxa"/>
            <w:vAlign w:val="bottom"/>
            <w:tcBorders>
              <w:right w:val="single" w:sz="8" w:color="auto"/>
            </w:tcBorders>
            <w:vMerge w:val="continue"/>
          </w:tcPr>
          <w:p>
            <w:pPr>
              <w:spacing w:after="0"/>
              <w:rPr>
                <w:sz w:val="21"/>
                <w:szCs w:val="21"/>
                <w:color w:val="auto"/>
              </w:rPr>
            </w:pPr>
          </w:p>
        </w:tc>
        <w:tc>
          <w:tcPr>
            <w:tcW w:w="19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b w:val="1"/>
                <w:bCs w:val="1"/>
                <w:color w:val="auto"/>
              </w:rPr>
              <w:t>dell’Organo di</w:t>
            </w:r>
          </w:p>
        </w:tc>
        <w:tc>
          <w:tcPr>
            <w:tcW w:w="602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329"/>
        </w:trPr>
        <w:tc>
          <w:tcPr>
            <w:tcW w:w="460" w:type="dxa"/>
            <w:vAlign w:val="bottom"/>
            <w:tcBorders>
              <w:left w:val="single" w:sz="8" w:color="auto"/>
            </w:tcBorders>
            <w:vMerge w:val="continue"/>
          </w:tcPr>
          <w:p>
            <w:pPr>
              <w:spacing w:after="0"/>
              <w:rPr>
                <w:sz w:val="24"/>
                <w:szCs w:val="24"/>
                <w:color w:val="auto"/>
              </w:rPr>
            </w:pPr>
          </w:p>
        </w:tc>
        <w:tc>
          <w:tcPr>
            <w:tcW w:w="380" w:type="dxa"/>
            <w:vAlign w:val="bottom"/>
            <w:vMerge w:val="continue"/>
          </w:tcPr>
          <w:p>
            <w:pPr>
              <w:spacing w:after="0"/>
              <w:rPr>
                <w:sz w:val="24"/>
                <w:szCs w:val="24"/>
                <w:color w:val="auto"/>
              </w:rPr>
            </w:pPr>
          </w:p>
        </w:tc>
        <w:tc>
          <w:tcPr>
            <w:tcW w:w="840" w:type="dxa"/>
            <w:vAlign w:val="bottom"/>
            <w:tcBorders>
              <w:right w:val="single" w:sz="8" w:color="auto"/>
            </w:tcBorders>
            <w:vMerge w:val="continue"/>
          </w:tcPr>
          <w:p>
            <w:pPr>
              <w:spacing w:after="0"/>
              <w:rPr>
                <w:sz w:val="24"/>
                <w:szCs w:val="24"/>
                <w:color w:val="auto"/>
              </w:rPr>
            </w:pPr>
          </w:p>
        </w:tc>
        <w:tc>
          <w:tcPr>
            <w:tcW w:w="19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b w:val="1"/>
                <w:bCs w:val="1"/>
                <w:color w:val="auto"/>
              </w:rPr>
              <w:t>controllo interno.</w:t>
            </w:r>
          </w:p>
        </w:tc>
        <w:tc>
          <w:tcPr>
            <w:tcW w:w="6020" w:type="dxa"/>
            <w:vAlign w:val="bottom"/>
            <w:tcBorders>
              <w:right w:val="single" w:sz="8" w:color="auto"/>
            </w:tcBorders>
          </w:tcPr>
          <w:p>
            <w:pPr>
              <w:ind w:left="14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81"/>
        </w:trPr>
        <w:tc>
          <w:tcPr>
            <w:tcW w:w="460" w:type="dxa"/>
            <w:vAlign w:val="bottom"/>
            <w:tcBorders>
              <w:left w:val="single" w:sz="8" w:color="auto"/>
            </w:tcBorders>
            <w:vMerge w:val="continue"/>
          </w:tcPr>
          <w:p>
            <w:pPr>
              <w:spacing w:after="0"/>
              <w:rPr>
                <w:sz w:val="24"/>
                <w:szCs w:val="24"/>
                <w:color w:val="auto"/>
              </w:rPr>
            </w:pPr>
          </w:p>
        </w:tc>
        <w:tc>
          <w:tcPr>
            <w:tcW w:w="380" w:type="dxa"/>
            <w:vAlign w:val="bottom"/>
            <w:vMerge w:val="continue"/>
          </w:tcPr>
          <w:p>
            <w:pPr>
              <w:spacing w:after="0"/>
              <w:rPr>
                <w:sz w:val="24"/>
                <w:szCs w:val="24"/>
                <w:color w:val="auto"/>
              </w:rPr>
            </w:pPr>
          </w:p>
        </w:tc>
        <w:tc>
          <w:tcPr>
            <w:tcW w:w="840" w:type="dxa"/>
            <w:vAlign w:val="bottom"/>
            <w:tcBorders>
              <w:right w:val="single" w:sz="8" w:color="auto"/>
            </w:tcBorders>
            <w:vMerge w:val="continue"/>
          </w:tcPr>
          <w:p>
            <w:pPr>
              <w:spacing w:after="0"/>
              <w:rPr>
                <w:sz w:val="24"/>
                <w:szCs w:val="24"/>
                <w:color w:val="auto"/>
              </w:rPr>
            </w:pPr>
          </w:p>
        </w:tc>
        <w:tc>
          <w:tcPr>
            <w:tcW w:w="19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b w:val="1"/>
                <w:bCs w:val="1"/>
                <w:color w:val="auto"/>
              </w:rPr>
              <w:t>Allegazione della</w:t>
            </w:r>
          </w:p>
        </w:tc>
        <w:tc>
          <w:tcPr>
            <w:tcW w:w="602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460" w:type="dxa"/>
            <w:vAlign w:val="bottom"/>
            <w:tcBorders>
              <w:left w:val="single" w:sz="8" w:color="auto"/>
            </w:tcBorders>
            <w:vMerge w:val="continue"/>
          </w:tcPr>
          <w:p>
            <w:pPr>
              <w:spacing w:after="0"/>
              <w:rPr>
                <w:sz w:val="19"/>
                <w:szCs w:val="19"/>
                <w:color w:val="auto"/>
              </w:rPr>
            </w:pPr>
          </w:p>
        </w:tc>
        <w:tc>
          <w:tcPr>
            <w:tcW w:w="380" w:type="dxa"/>
            <w:vAlign w:val="bottom"/>
            <w:vMerge w:val="continue"/>
          </w:tcPr>
          <w:p>
            <w:pPr>
              <w:spacing w:after="0"/>
              <w:rPr>
                <w:sz w:val="19"/>
                <w:szCs w:val="19"/>
                <w:color w:val="auto"/>
              </w:rPr>
            </w:pPr>
          </w:p>
        </w:tc>
        <w:tc>
          <w:tcPr>
            <w:tcW w:w="840" w:type="dxa"/>
            <w:vAlign w:val="bottom"/>
            <w:tcBorders>
              <w:right w:val="single" w:sz="8" w:color="auto"/>
            </w:tcBorders>
            <w:vMerge w:val="continue"/>
          </w:tcPr>
          <w:p>
            <w:pPr>
              <w:spacing w:after="0"/>
              <w:rPr>
                <w:sz w:val="19"/>
                <w:szCs w:val="19"/>
                <w:color w:val="auto"/>
              </w:rPr>
            </w:pPr>
          </w:p>
        </w:tc>
        <w:tc>
          <w:tcPr>
            <w:tcW w:w="1920" w:type="dxa"/>
            <w:vAlign w:val="bottom"/>
            <w:tcBorders>
              <w:right w:val="single" w:sz="8" w:color="auto"/>
            </w:tcBorders>
          </w:tcPr>
          <w:p>
            <w:pPr>
              <w:ind w:left="80"/>
              <w:spacing w:after="0" w:line="222" w:lineRule="exact"/>
              <w:rPr>
                <w:sz w:val="20"/>
                <w:szCs w:val="20"/>
                <w:color w:val="auto"/>
              </w:rPr>
            </w:pPr>
            <w:r>
              <w:rPr>
                <w:rFonts w:ascii="Calibri" w:cs="Calibri" w:eastAsia="Calibri" w:hAnsi="Calibri"/>
                <w:sz w:val="20"/>
                <w:szCs w:val="20"/>
                <w:b w:val="1"/>
                <w:bCs w:val="1"/>
                <w:color w:val="auto"/>
              </w:rPr>
              <w:t>Certificazione</w:t>
            </w:r>
          </w:p>
        </w:tc>
        <w:tc>
          <w:tcPr>
            <w:tcW w:w="602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460" w:type="dxa"/>
            <w:vAlign w:val="bottom"/>
            <w:tcBorders>
              <w:left w:val="single" w:sz="8" w:color="auto"/>
            </w:tcBorders>
            <w:vMerge w:val="continue"/>
          </w:tcPr>
          <w:p>
            <w:pPr>
              <w:spacing w:after="0"/>
              <w:rPr>
                <w:sz w:val="21"/>
                <w:szCs w:val="21"/>
                <w:color w:val="auto"/>
              </w:rPr>
            </w:pPr>
          </w:p>
        </w:tc>
        <w:tc>
          <w:tcPr>
            <w:tcW w:w="380" w:type="dxa"/>
            <w:vAlign w:val="bottom"/>
            <w:vMerge w:val="continue"/>
          </w:tcPr>
          <w:p>
            <w:pPr>
              <w:spacing w:after="0"/>
              <w:rPr>
                <w:sz w:val="21"/>
                <w:szCs w:val="21"/>
                <w:color w:val="auto"/>
              </w:rPr>
            </w:pPr>
          </w:p>
        </w:tc>
        <w:tc>
          <w:tcPr>
            <w:tcW w:w="840" w:type="dxa"/>
            <w:vAlign w:val="bottom"/>
            <w:tcBorders>
              <w:right w:val="single" w:sz="8" w:color="auto"/>
            </w:tcBorders>
            <w:vMerge w:val="continue"/>
          </w:tcPr>
          <w:p>
            <w:pPr>
              <w:spacing w:after="0"/>
              <w:rPr>
                <w:sz w:val="21"/>
                <w:szCs w:val="21"/>
                <w:color w:val="auto"/>
              </w:rPr>
            </w:pPr>
          </w:p>
        </w:tc>
        <w:tc>
          <w:tcPr>
            <w:tcW w:w="19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b w:val="1"/>
                <w:bCs w:val="1"/>
                <w:color w:val="auto"/>
              </w:rPr>
              <w:t>dell’Organo di</w:t>
            </w:r>
          </w:p>
        </w:tc>
        <w:tc>
          <w:tcPr>
            <w:tcW w:w="6020" w:type="dxa"/>
            <w:vAlign w:val="bottom"/>
            <w:tcBorders>
              <w:right w:val="single" w:sz="8" w:color="auto"/>
            </w:tcBorders>
            <w:vMerge w:val="restart"/>
          </w:tcPr>
          <w:p>
            <w:pPr>
              <w:ind w:left="520"/>
              <w:spacing w:after="0"/>
              <w:rPr>
                <w:sz w:val="20"/>
                <w:szCs w:val="20"/>
                <w:color w:val="auto"/>
              </w:rPr>
            </w:pPr>
            <w:r>
              <w:rPr>
                <w:rFonts w:ascii="Calibri" w:cs="Calibri" w:eastAsia="Calibri" w:hAnsi="Calibri"/>
                <w:sz w:val="20"/>
                <w:szCs w:val="20"/>
                <w:color w:val="auto"/>
              </w:rPr>
              <w:t>Nel caso l’Organo di controllo interno abbia effettuato rilievi,</w:t>
            </w:r>
          </w:p>
        </w:tc>
        <w:tc>
          <w:tcPr>
            <w:tcW w:w="0" w:type="dxa"/>
            <w:vAlign w:val="bottom"/>
          </w:tcPr>
          <w:p>
            <w:pPr>
              <w:spacing w:after="0"/>
              <w:rPr>
                <w:sz w:val="1"/>
                <w:szCs w:val="1"/>
                <w:color w:val="auto"/>
              </w:rPr>
            </w:pPr>
          </w:p>
        </w:tc>
      </w:tr>
      <w:tr>
        <w:trPr>
          <w:trHeight w:val="93"/>
        </w:trPr>
        <w:tc>
          <w:tcPr>
            <w:tcW w:w="460" w:type="dxa"/>
            <w:vAlign w:val="bottom"/>
            <w:tcBorders>
              <w:left w:val="single" w:sz="8" w:color="auto"/>
            </w:tcBorders>
            <w:vMerge w:val="continue"/>
          </w:tcPr>
          <w:p>
            <w:pPr>
              <w:spacing w:after="0"/>
              <w:rPr>
                <w:sz w:val="8"/>
                <w:szCs w:val="8"/>
                <w:color w:val="auto"/>
              </w:rPr>
            </w:pPr>
          </w:p>
        </w:tc>
        <w:tc>
          <w:tcPr>
            <w:tcW w:w="380" w:type="dxa"/>
            <w:vAlign w:val="bottom"/>
            <w:vMerge w:val="continue"/>
          </w:tcPr>
          <w:p>
            <w:pPr>
              <w:spacing w:after="0"/>
              <w:rPr>
                <w:sz w:val="8"/>
                <w:szCs w:val="8"/>
                <w:color w:val="auto"/>
              </w:rPr>
            </w:pPr>
          </w:p>
        </w:tc>
        <w:tc>
          <w:tcPr>
            <w:tcW w:w="840" w:type="dxa"/>
            <w:vAlign w:val="bottom"/>
            <w:tcBorders>
              <w:right w:val="single" w:sz="8" w:color="auto"/>
            </w:tcBorders>
            <w:vMerge w:val="continue"/>
          </w:tcPr>
          <w:p>
            <w:pPr>
              <w:spacing w:after="0"/>
              <w:rPr>
                <w:sz w:val="8"/>
                <w:szCs w:val="8"/>
                <w:color w:val="auto"/>
              </w:rPr>
            </w:pPr>
          </w:p>
        </w:tc>
        <w:tc>
          <w:tcPr>
            <w:tcW w:w="1920" w:type="dxa"/>
            <w:vAlign w:val="bottom"/>
            <w:tcBorders>
              <w:right w:val="single" w:sz="8" w:color="auto"/>
            </w:tcBorders>
            <w:vMerge w:val="restart"/>
          </w:tcPr>
          <w:p>
            <w:pPr>
              <w:ind w:left="80"/>
              <w:spacing w:after="0" w:line="242" w:lineRule="exact"/>
              <w:rPr>
                <w:sz w:val="20"/>
                <w:szCs w:val="20"/>
                <w:color w:val="auto"/>
              </w:rPr>
            </w:pPr>
            <w:r>
              <w:rPr>
                <w:rFonts w:ascii="Calibri" w:cs="Calibri" w:eastAsia="Calibri" w:hAnsi="Calibri"/>
                <w:sz w:val="20"/>
                <w:szCs w:val="20"/>
                <w:b w:val="1"/>
                <w:bCs w:val="1"/>
                <w:color w:val="auto"/>
              </w:rPr>
              <w:t>controllo interno</w:t>
            </w:r>
          </w:p>
        </w:tc>
        <w:tc>
          <w:tcPr>
            <w:tcW w:w="602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50"/>
        </w:trPr>
        <w:tc>
          <w:tcPr>
            <w:tcW w:w="460" w:type="dxa"/>
            <w:vAlign w:val="bottom"/>
            <w:tcBorders>
              <w:left w:val="single" w:sz="8" w:color="auto"/>
            </w:tcBorders>
            <w:vMerge w:val="continue"/>
          </w:tcPr>
          <w:p>
            <w:pPr>
              <w:spacing w:after="0"/>
              <w:rPr>
                <w:sz w:val="13"/>
                <w:szCs w:val="13"/>
                <w:color w:val="auto"/>
              </w:rPr>
            </w:pPr>
          </w:p>
        </w:tc>
        <w:tc>
          <w:tcPr>
            <w:tcW w:w="380" w:type="dxa"/>
            <w:vAlign w:val="bottom"/>
            <w:vMerge w:val="continue"/>
          </w:tcPr>
          <w:p>
            <w:pPr>
              <w:spacing w:after="0"/>
              <w:rPr>
                <w:sz w:val="13"/>
                <w:szCs w:val="13"/>
                <w:color w:val="auto"/>
              </w:rPr>
            </w:pPr>
          </w:p>
        </w:tc>
        <w:tc>
          <w:tcPr>
            <w:tcW w:w="840" w:type="dxa"/>
            <w:vAlign w:val="bottom"/>
            <w:tcBorders>
              <w:right w:val="single" w:sz="8" w:color="auto"/>
            </w:tcBorders>
            <w:vMerge w:val="continue"/>
          </w:tcPr>
          <w:p>
            <w:pPr>
              <w:spacing w:after="0"/>
              <w:rPr>
                <w:sz w:val="13"/>
                <w:szCs w:val="13"/>
                <w:color w:val="auto"/>
              </w:rPr>
            </w:pPr>
          </w:p>
        </w:tc>
        <w:tc>
          <w:tcPr>
            <w:tcW w:w="1920" w:type="dxa"/>
            <w:vAlign w:val="bottom"/>
            <w:tcBorders>
              <w:right w:val="single" w:sz="8" w:color="auto"/>
            </w:tcBorders>
            <w:vMerge w:val="continue"/>
          </w:tcPr>
          <w:p>
            <w:pPr>
              <w:spacing w:after="0"/>
              <w:rPr>
                <w:sz w:val="13"/>
                <w:szCs w:val="13"/>
                <w:color w:val="auto"/>
              </w:rPr>
            </w:pPr>
          </w:p>
        </w:tc>
        <w:tc>
          <w:tcPr>
            <w:tcW w:w="6020" w:type="dxa"/>
            <w:vAlign w:val="bottom"/>
            <w:tcBorders>
              <w:right w:val="single" w:sz="8" w:color="auto"/>
            </w:tcBorders>
            <w:vMerge w:val="restart"/>
          </w:tcPr>
          <w:p>
            <w:pPr>
              <w:ind w:left="2580"/>
              <w:spacing w:after="0"/>
              <w:rPr>
                <w:sz w:val="20"/>
                <w:szCs w:val="20"/>
                <w:color w:val="auto"/>
              </w:rPr>
            </w:pPr>
            <w:r>
              <w:rPr>
                <w:rFonts w:ascii="Calibri" w:cs="Calibri" w:eastAsia="Calibri" w:hAnsi="Calibri"/>
                <w:sz w:val="20"/>
                <w:szCs w:val="20"/>
                <w:color w:val="auto"/>
              </w:rPr>
              <w:t>descriverli</w:t>
            </w:r>
          </w:p>
        </w:tc>
        <w:tc>
          <w:tcPr>
            <w:tcW w:w="0" w:type="dxa"/>
            <w:vAlign w:val="bottom"/>
          </w:tcPr>
          <w:p>
            <w:pPr>
              <w:spacing w:after="0"/>
              <w:rPr>
                <w:sz w:val="1"/>
                <w:szCs w:val="1"/>
                <w:color w:val="auto"/>
              </w:rPr>
            </w:pPr>
          </w:p>
        </w:tc>
      </w:tr>
      <w:tr>
        <w:trPr>
          <w:trHeight w:val="102"/>
        </w:trPr>
        <w:tc>
          <w:tcPr>
            <w:tcW w:w="460" w:type="dxa"/>
            <w:vAlign w:val="bottom"/>
            <w:tcBorders>
              <w:left w:val="single" w:sz="8" w:color="auto"/>
            </w:tcBorders>
            <w:vMerge w:val="continue"/>
          </w:tcPr>
          <w:p>
            <w:pPr>
              <w:spacing w:after="0"/>
              <w:rPr>
                <w:sz w:val="8"/>
                <w:szCs w:val="8"/>
                <w:color w:val="auto"/>
              </w:rPr>
            </w:pPr>
          </w:p>
        </w:tc>
        <w:tc>
          <w:tcPr>
            <w:tcW w:w="380" w:type="dxa"/>
            <w:vAlign w:val="bottom"/>
            <w:vMerge w:val="continue"/>
          </w:tcPr>
          <w:p>
            <w:pPr>
              <w:spacing w:after="0"/>
              <w:rPr>
                <w:sz w:val="8"/>
                <w:szCs w:val="8"/>
                <w:color w:val="auto"/>
              </w:rPr>
            </w:pPr>
          </w:p>
        </w:tc>
        <w:tc>
          <w:tcPr>
            <w:tcW w:w="840" w:type="dxa"/>
            <w:vAlign w:val="bottom"/>
            <w:tcBorders>
              <w:right w:val="single" w:sz="8" w:color="auto"/>
            </w:tcBorders>
            <w:vMerge w:val="continue"/>
          </w:tcPr>
          <w:p>
            <w:pPr>
              <w:spacing w:after="0"/>
              <w:rPr>
                <w:sz w:val="8"/>
                <w:szCs w:val="8"/>
                <w:color w:val="auto"/>
              </w:rPr>
            </w:pPr>
          </w:p>
        </w:tc>
        <w:tc>
          <w:tcPr>
            <w:tcW w:w="1920" w:type="dxa"/>
            <w:vAlign w:val="bottom"/>
            <w:tcBorders>
              <w:right w:val="single" w:sz="8" w:color="auto"/>
            </w:tcBorders>
            <w:vMerge w:val="restart"/>
          </w:tcPr>
          <w:p>
            <w:pPr>
              <w:ind w:left="80"/>
              <w:spacing w:after="0"/>
              <w:rPr>
                <w:sz w:val="20"/>
                <w:szCs w:val="20"/>
                <w:color w:val="auto"/>
              </w:rPr>
            </w:pPr>
            <w:r>
              <w:rPr>
                <w:rFonts w:ascii="Calibri" w:cs="Calibri" w:eastAsia="Calibri" w:hAnsi="Calibri"/>
                <w:sz w:val="20"/>
                <w:szCs w:val="20"/>
                <w:b w:val="1"/>
                <w:bCs w:val="1"/>
                <w:color w:val="auto"/>
              </w:rPr>
              <w:t>alla Relazione</w:t>
            </w:r>
          </w:p>
        </w:tc>
        <w:tc>
          <w:tcPr>
            <w:tcW w:w="602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3"/>
        </w:trPr>
        <w:tc>
          <w:tcPr>
            <w:tcW w:w="460" w:type="dxa"/>
            <w:vAlign w:val="bottom"/>
            <w:tcBorders>
              <w:left w:val="single" w:sz="8" w:color="auto"/>
            </w:tcBorders>
            <w:vMerge w:val="continue"/>
          </w:tcPr>
          <w:p>
            <w:pPr>
              <w:spacing w:after="0"/>
              <w:rPr>
                <w:sz w:val="12"/>
                <w:szCs w:val="12"/>
                <w:color w:val="auto"/>
              </w:rPr>
            </w:pPr>
          </w:p>
        </w:tc>
        <w:tc>
          <w:tcPr>
            <w:tcW w:w="380" w:type="dxa"/>
            <w:vAlign w:val="bottom"/>
            <w:vMerge w:val="continue"/>
          </w:tcPr>
          <w:p>
            <w:pPr>
              <w:spacing w:after="0"/>
              <w:rPr>
                <w:sz w:val="12"/>
                <w:szCs w:val="12"/>
                <w:color w:val="auto"/>
              </w:rPr>
            </w:pPr>
          </w:p>
        </w:tc>
        <w:tc>
          <w:tcPr>
            <w:tcW w:w="840" w:type="dxa"/>
            <w:vAlign w:val="bottom"/>
            <w:tcBorders>
              <w:right w:val="single" w:sz="8" w:color="auto"/>
            </w:tcBorders>
            <w:vMerge w:val="continue"/>
          </w:tcPr>
          <w:p>
            <w:pPr>
              <w:spacing w:after="0"/>
              <w:rPr>
                <w:sz w:val="12"/>
                <w:szCs w:val="12"/>
                <w:color w:val="auto"/>
              </w:rPr>
            </w:pPr>
          </w:p>
        </w:tc>
        <w:tc>
          <w:tcPr>
            <w:tcW w:w="1920" w:type="dxa"/>
            <w:vAlign w:val="bottom"/>
            <w:tcBorders>
              <w:right w:val="single" w:sz="8" w:color="auto"/>
            </w:tcBorders>
            <w:vMerge w:val="continue"/>
          </w:tcPr>
          <w:p>
            <w:pPr>
              <w:spacing w:after="0"/>
              <w:rPr>
                <w:sz w:val="12"/>
                <w:szCs w:val="12"/>
                <w:color w:val="auto"/>
              </w:rPr>
            </w:pPr>
          </w:p>
        </w:tc>
        <w:tc>
          <w:tcPr>
            <w:tcW w:w="602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53"/>
        </w:trPr>
        <w:tc>
          <w:tcPr>
            <w:tcW w:w="460" w:type="dxa"/>
            <w:vAlign w:val="bottom"/>
            <w:tcBorders>
              <w:left w:val="single" w:sz="8" w:color="auto"/>
            </w:tcBorders>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840" w:type="dxa"/>
            <w:vAlign w:val="bottom"/>
            <w:tcBorders>
              <w:right w:val="single" w:sz="8" w:color="auto"/>
            </w:tcBorders>
            <w:vMerge w:val="continue"/>
          </w:tcPr>
          <w:p>
            <w:pPr>
              <w:spacing w:after="0"/>
              <w:rPr>
                <w:sz w:val="22"/>
                <w:szCs w:val="22"/>
                <w:color w:val="auto"/>
              </w:rPr>
            </w:pPr>
          </w:p>
        </w:tc>
        <w:tc>
          <w:tcPr>
            <w:tcW w:w="19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b w:val="1"/>
                <w:bCs w:val="1"/>
                <w:color w:val="auto"/>
              </w:rPr>
              <w:t>illustrativa.</w:t>
            </w:r>
          </w:p>
        </w:tc>
        <w:tc>
          <w:tcPr>
            <w:tcW w:w="6020" w:type="dxa"/>
            <w:vAlign w:val="bottom"/>
            <w:tcBorders>
              <w:right w:val="single" w:sz="8" w:color="auto"/>
            </w:tcBorders>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115"/>
        </w:trPr>
        <w:tc>
          <w:tcPr>
            <w:tcW w:w="460" w:type="dxa"/>
            <w:vAlign w:val="bottom"/>
            <w:tcBorders>
              <w:left w:val="single" w:sz="8" w:color="auto"/>
              <w:bottom w:val="single" w:sz="8" w:color="auto"/>
            </w:tcBorders>
          </w:tcPr>
          <w:p>
            <w:pPr>
              <w:spacing w:after="0"/>
              <w:rPr>
                <w:sz w:val="10"/>
                <w:szCs w:val="10"/>
                <w:color w:val="auto"/>
              </w:rPr>
            </w:pPr>
          </w:p>
        </w:tc>
        <w:tc>
          <w:tcPr>
            <w:tcW w:w="380" w:type="dxa"/>
            <w:vAlign w:val="bottom"/>
            <w:tcBorders>
              <w:bottom w:val="single" w:sz="8" w:color="auto"/>
            </w:tcBorders>
          </w:tcPr>
          <w:p>
            <w:pPr>
              <w:spacing w:after="0"/>
              <w:rPr>
                <w:sz w:val="10"/>
                <w:szCs w:val="10"/>
                <w:color w:val="auto"/>
              </w:rPr>
            </w:pPr>
          </w:p>
        </w:tc>
        <w:tc>
          <w:tcPr>
            <w:tcW w:w="840" w:type="dxa"/>
            <w:vAlign w:val="bottom"/>
            <w:tcBorders>
              <w:bottom w:val="single" w:sz="8" w:color="auto"/>
              <w:right w:val="single" w:sz="8" w:color="auto"/>
            </w:tcBorders>
          </w:tcPr>
          <w:p>
            <w:pPr>
              <w:spacing w:after="0"/>
              <w:rPr>
                <w:sz w:val="10"/>
                <w:szCs w:val="10"/>
                <w:color w:val="auto"/>
              </w:rPr>
            </w:pPr>
          </w:p>
        </w:tc>
        <w:tc>
          <w:tcPr>
            <w:tcW w:w="1920" w:type="dxa"/>
            <w:vAlign w:val="bottom"/>
            <w:tcBorders>
              <w:bottom w:val="single" w:sz="8" w:color="auto"/>
              <w:right w:val="single" w:sz="8" w:color="auto"/>
            </w:tcBorders>
          </w:tcPr>
          <w:p>
            <w:pPr>
              <w:spacing w:after="0"/>
              <w:rPr>
                <w:sz w:val="10"/>
                <w:szCs w:val="10"/>
                <w:color w:val="auto"/>
              </w:rPr>
            </w:pPr>
          </w:p>
        </w:tc>
        <w:tc>
          <w:tcPr>
            <w:tcW w:w="602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9640"/>
        <w:spacing w:after="0"/>
        <w:rPr>
          <w:sz w:val="20"/>
          <w:szCs w:val="20"/>
          <w:color w:val="auto"/>
        </w:rPr>
      </w:pPr>
      <w:r>
        <w:rPr>
          <w:rFonts w:ascii="Calibri" w:cs="Calibri" w:eastAsia="Calibri" w:hAnsi="Calibri"/>
          <w:sz w:val="22"/>
          <w:szCs w:val="22"/>
          <w:color w:val="auto"/>
        </w:rPr>
        <w:t>1</w:t>
      </w:r>
    </w:p>
    <w:p>
      <w:pPr>
        <w:sectPr>
          <w:pgSz w:w="11900" w:h="16838" w:orient="portrait"/>
          <w:cols w:equalWidth="0" w:num="1">
            <w:col w:w="9760"/>
          </w:cols>
          <w:pgMar w:left="1020" w:top="1440" w:right="1120" w:bottom="70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35"/>
          <w:szCs w:val="35"/>
          <w:color w:val="auto"/>
        </w:rPr>
        <w:t>Ministero dell’Istruzione, dell’Università e della Ricerca</w:t>
      </w:r>
    </w:p>
    <w:p>
      <w:pPr>
        <w:spacing w:after="0" w:line="279" w:lineRule="exact"/>
        <w:rPr>
          <w:sz w:val="20"/>
          <w:szCs w:val="20"/>
          <w:color w:val="auto"/>
        </w:rPr>
      </w:pPr>
    </w:p>
    <w:p>
      <w:pPr>
        <w:ind w:left="1280"/>
        <w:spacing w:after="0"/>
        <w:rPr>
          <w:sz w:val="20"/>
          <w:szCs w:val="20"/>
          <w:color w:val="auto"/>
        </w:rPr>
      </w:pPr>
      <w:r>
        <w:rPr>
          <w:rFonts w:ascii="Times New Roman" w:cs="Times New Roman" w:eastAsia="Times New Roman" w:hAnsi="Times New Roman"/>
          <w:sz w:val="39"/>
          <w:szCs w:val="39"/>
          <w:color w:val="auto"/>
        </w:rPr>
        <w:t>Ufficio Scolastico Regionale per l’Abruzzo</w:t>
      </w:r>
    </w:p>
    <w:p>
      <w:pPr>
        <w:spacing w:after="0" w:line="185"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40"/>
          <w:szCs w:val="40"/>
          <w:color w:val="auto"/>
        </w:rPr>
        <w:t>Direzione Generale – Ufficio 1</w:t>
      </w:r>
    </w:p>
    <w:p>
      <w:pPr>
        <w:ind w:left="2080"/>
        <w:spacing w:after="0"/>
        <w:rPr>
          <w:sz w:val="20"/>
          <w:szCs w:val="20"/>
          <w:color w:val="auto"/>
        </w:rPr>
        <w:sectPr>
          <w:pgSz w:w="11900" w:h="16838" w:orient="portrait"/>
          <w:cols w:equalWidth="0" w:num="1">
            <w:col w:w="8100"/>
          </w:cols>
          <w:pgMar w:left="2180" w:top="1440" w:right="1620" w:bottom="707" w:gutter="0" w:footer="0" w:header="0"/>
        </w:sectPr>
      </w:pPr>
      <w:r>
        <w:rPr>
          <w:sz w:val="20"/>
          <w:szCs w:val="20"/>
          <w:color w:val="auto"/>
        </w:rPr>
        <mc:AlternateContent>
          <mc:Choice Requires="wps">
            <w:drawing>
              <wp:anchor simplePos="0" relativeHeight="251657728" behindDoc="1" locked="0" layoutInCell="0" allowOverlap="1">
                <wp:simplePos x="0" y="0"/>
                <wp:positionH relativeFrom="column">
                  <wp:posOffset>-736600</wp:posOffset>
                </wp:positionH>
                <wp:positionV relativeFrom="paragraph">
                  <wp:posOffset>285115</wp:posOffset>
                </wp:positionV>
                <wp:extent cx="61061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45pt" to="422.8pt,22.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1535430</wp:posOffset>
                </wp:positionH>
                <wp:positionV relativeFrom="paragraph">
                  <wp:posOffset>914400</wp:posOffset>
                </wp:positionV>
                <wp:extent cx="383413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834130"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0.9pt,72pt" to="422.8pt,72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1535430</wp:posOffset>
                </wp:positionH>
                <wp:positionV relativeFrom="paragraph">
                  <wp:posOffset>1543685</wp:posOffset>
                </wp:positionV>
                <wp:extent cx="383413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83413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0.9pt,121.55pt" to="422.8pt,121.5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1535430</wp:posOffset>
                </wp:positionH>
                <wp:positionV relativeFrom="paragraph">
                  <wp:posOffset>2173605</wp:posOffset>
                </wp:positionV>
                <wp:extent cx="383413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83413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0.9pt,171.15pt" to="422.8pt,171.1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-736600</wp:posOffset>
                </wp:positionH>
                <wp:positionV relativeFrom="paragraph">
                  <wp:posOffset>2802890</wp:posOffset>
                </wp:positionV>
                <wp:extent cx="610616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0.7pt" to="422.8pt,220.7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317500</wp:posOffset>
                </wp:positionH>
                <wp:positionV relativeFrom="paragraph">
                  <wp:posOffset>281940</wp:posOffset>
                </wp:positionV>
                <wp:extent cx="0" cy="252412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pt,22.2pt" to="25pt,220.9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1538605</wp:posOffset>
                </wp:positionH>
                <wp:positionV relativeFrom="paragraph">
                  <wp:posOffset>281940</wp:posOffset>
                </wp:positionV>
                <wp:extent cx="0" cy="2524125"/>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1.15pt,22.2pt" to="121.15pt,220.9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-733425</wp:posOffset>
                </wp:positionH>
                <wp:positionV relativeFrom="paragraph">
                  <wp:posOffset>281940</wp:posOffset>
                </wp:positionV>
                <wp:extent cx="0" cy="299783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7.7499pt,22.2pt" to="-57.7499pt,258.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5367020</wp:posOffset>
                </wp:positionH>
                <wp:positionV relativeFrom="paragraph">
                  <wp:posOffset>281940</wp:posOffset>
                </wp:positionV>
                <wp:extent cx="0" cy="2997835"/>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2.6pt,22.2pt" to="422.6pt,258.25pt" o:allowincell="f" strokecolor="#000000" strokeweight="0.48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spacing w:after="0" w:line="241" w:lineRule="auto"/>
        <w:rPr>
          <w:sz w:val="20"/>
          <w:szCs w:val="20"/>
          <w:color w:val="auto"/>
        </w:rPr>
      </w:pPr>
      <w:r>
        <w:rPr>
          <w:rFonts w:ascii="Calibri" w:cs="Calibri" w:eastAsia="Calibri" w:hAnsi="Calibri"/>
          <w:sz w:val="20"/>
          <w:szCs w:val="20"/>
          <w:b w:val="1"/>
          <w:bCs w:val="1"/>
          <w:color w:val="auto"/>
        </w:rPr>
        <w:t>Attestazione del rispetto degli obblighi di legge che in caso di inadempimento comportano la sanzione del divieto di erogazione della retribuzione accessoria</w:t>
      </w:r>
    </w:p>
    <w:p>
      <w:pPr>
        <w:spacing w:after="0" w:line="200" w:lineRule="exact"/>
        <w:rPr>
          <w:sz w:val="20"/>
          <w:szCs w:val="20"/>
          <w:color w:val="auto"/>
        </w:rPr>
      </w:pPr>
      <w:r>
        <w:rPr>
          <w:sz w:val="20"/>
          <w:szCs w:val="20"/>
          <w:color w:val="auto"/>
        </w:rPr>
        <w:br w:type="column"/>
      </w:r>
    </w:p>
    <w:p>
      <w:pPr>
        <w:spacing w:after="0" w:line="252"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È stato adottato il Piano della performance previsto dall’art. 10 del d.lgs.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È stato adottato il Programma triennale per la trasparenza e l’integrità previsto dall’art. 11, comma 2 del d.lgs.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rPr>
          <w:sz w:val="20"/>
          <w:szCs w:val="20"/>
          <w:color w:val="auto"/>
        </w:rPr>
      </w:pPr>
      <w:r>
        <w:rPr>
          <w:rFonts w:ascii="Calibri" w:cs="Calibri" w:eastAsia="Calibri" w:hAnsi="Calibri"/>
          <w:sz w:val="20"/>
          <w:szCs w:val="20"/>
          <w:color w:val="auto"/>
        </w:rPr>
        <w:t>È stato assolto l’obbligo di pubblicazione di cui ai commi 6 e 8 dell’art.</w:t>
      </w:r>
    </w:p>
    <w:p>
      <w:pPr>
        <w:spacing w:after="0"/>
        <w:rPr>
          <w:sz w:val="20"/>
          <w:szCs w:val="20"/>
          <w:color w:val="auto"/>
        </w:rPr>
      </w:pPr>
      <w:r>
        <w:rPr>
          <w:rFonts w:ascii="Calibri" w:cs="Calibri" w:eastAsia="Calibri" w:hAnsi="Calibri"/>
          <w:sz w:val="20"/>
          <w:szCs w:val="20"/>
          <w:color w:val="auto"/>
        </w:rPr>
        <w:t>11 del d.lgs. 150/2009</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La Relazione della Performance è stata validata dall’OIV ai sensi dell’articolo 14, comma 6. del d.lgs. n.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ectPr>
          <w:pgSz w:w="11900" w:h="16838" w:orient="portrait"/>
          <w:cols w:equalWidth="0" w:num="2">
            <w:col w:w="1700" w:space="240"/>
            <w:col w:w="5800"/>
          </w:cols>
          <w:pgMar w:left="2780" w:top="1440" w:right="1380" w:bottom="707" w:gutter="0" w:footer="0" w:header="0"/>
          <w:type w:val="continuous"/>
        </w:sectPr>
      </w:pPr>
    </w:p>
    <w:p>
      <w:pPr>
        <w:spacing w:after="0" w:line="150" w:lineRule="exact"/>
        <w:rPr>
          <w:sz w:val="20"/>
          <w:szCs w:val="20"/>
          <w:color w:val="auto"/>
        </w:rPr>
      </w:pPr>
    </w:p>
    <w:p>
      <w:pPr>
        <w:spacing w:after="0"/>
        <w:rPr>
          <w:sz w:val="20"/>
          <w:szCs w:val="20"/>
          <w:color w:val="auto"/>
        </w:rPr>
      </w:pPr>
      <w:r>
        <w:rPr>
          <w:rFonts w:ascii="Calibri" w:cs="Calibri" w:eastAsia="Calibri" w:hAnsi="Calibri"/>
          <w:sz w:val="20"/>
          <w:szCs w:val="20"/>
          <w:b w:val="1"/>
          <w:bCs w:val="1"/>
          <w:color w:val="auto"/>
        </w:rPr>
        <w:t>Eventuali osservazioni</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atto unilaterale disposto ai sensi dell’art. 40, comma 3 ter, del D.lgs. n.165/2001</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-76200</wp:posOffset>
                </wp:positionH>
                <wp:positionV relativeFrom="paragraph">
                  <wp:posOffset>92710</wp:posOffset>
                </wp:positionV>
                <wp:extent cx="61061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pt,7.3pt" to="474.8pt,7.3pt" o:allowincell="f" strokecolor="#000000" strokeweight="0.4799pt"/>
            </w:pict>
          </mc:Fallback>
        </mc:AlternateContent>
      </w:r>
    </w:p>
    <w:p>
      <w:pPr>
        <w:spacing w:after="0" w:line="200" w:lineRule="exact"/>
        <w:rPr>
          <w:sz w:val="20"/>
          <w:szCs w:val="20"/>
          <w:color w:val="auto"/>
        </w:rPr>
      </w:pPr>
    </w:p>
    <w:p>
      <w:pPr>
        <w:spacing w:after="0" w:line="373" w:lineRule="exact"/>
        <w:rPr>
          <w:sz w:val="20"/>
          <w:szCs w:val="20"/>
          <w:color w:val="auto"/>
        </w:rPr>
      </w:pPr>
    </w:p>
    <w:p>
      <w:pPr>
        <w:jc w:val="both"/>
        <w:ind w:left="360" w:hanging="356"/>
        <w:spacing w:after="0" w:line="246" w:lineRule="auto"/>
        <w:rPr>
          <w:sz w:val="20"/>
          <w:szCs w:val="20"/>
          <w:color w:val="auto"/>
        </w:rPr>
      </w:pPr>
      <w:r>
        <w:rPr>
          <w:rFonts w:ascii="Calibri" w:cs="Calibri" w:eastAsia="Calibri" w:hAnsi="Calibri"/>
          <w:sz w:val="22"/>
          <w:szCs w:val="22"/>
          <w:b w:val="1"/>
          <w:bCs w:val="1"/>
          <w:i w:val="1"/>
          <w:iCs w:val="1"/>
          <w:color w:val="auto"/>
        </w:rPr>
        <w:t>I.2 - Modulo 2 Illustrazione dell’articolato del Provvedimento (Attestazione della compatibilità con i vincoli derivanti da norme di legge e di contratto nazionale –modalità di utilizzo delle risorse accessorie - risultati attesi - altre informazioni utili)</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-22225</wp:posOffset>
                </wp:positionH>
                <wp:positionV relativeFrom="paragraph">
                  <wp:posOffset>8890</wp:posOffset>
                </wp:positionV>
                <wp:extent cx="61563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325"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499pt,0.7pt" to="483pt,0.7pt" o:allowincell="f" strokecolor="#C0C0C0" strokeweight="0.48pt"/>
            </w:pict>
          </mc:Fallback>
        </mc:AlternateContent>
      </w:r>
    </w:p>
    <w:p>
      <w:pPr>
        <w:spacing w:after="0" w:line="213"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La presente relazione illustrativa viene prodotta ai sensi dell’art. 40 bis, comma 5, del D.Lgs. 30 marzo 2001, n. 165 come modificato dal D.Lgs. n. 150/2009 a corredo dell’Ipotesi di Atto Unilaterale dell’Ufficio Scolastico Regionale per l’Abruzzo – adottato ai sensi dell’art.40, comma 3 ter del D.lgs n.165/2001 - per la ripartizione del fondo regionale per la retribuzione di posizione e di risultato dei Dirigenti Scolastici della regione Abruzzo per l’anno scolastico 2013/2014.</w:t>
      </w:r>
    </w:p>
    <w:p>
      <w:pPr>
        <w:spacing w:after="0" w:line="80" w:lineRule="exact"/>
        <w:rPr>
          <w:sz w:val="20"/>
          <w:szCs w:val="20"/>
          <w:color w:val="auto"/>
        </w:rPr>
      </w:pPr>
    </w:p>
    <w:p>
      <w:pPr>
        <w:jc w:val="both"/>
        <w:spacing w:after="0" w:line="309" w:lineRule="auto"/>
        <w:rPr>
          <w:sz w:val="20"/>
          <w:szCs w:val="20"/>
          <w:color w:val="auto"/>
        </w:rPr>
      </w:pPr>
      <w:r>
        <w:rPr>
          <w:rFonts w:ascii="Times New Roman" w:cs="Times New Roman" w:eastAsia="Times New Roman" w:hAnsi="Times New Roman"/>
          <w:sz w:val="22"/>
          <w:szCs w:val="22"/>
          <w:color w:val="auto"/>
        </w:rPr>
        <w:t>Nell’incontro in data 26 settembre 2016 tra le Organizzazioni Sindacali regionali dell’Area V della Dirigenza scolastica (ANP-CIDA, FLC-CGIL, CISL-SCUOLA, UIL-SCUOLA e SNALS-CONFSAL) e la Delegazione di parte pubblica - individuata con provvedimento del Direttore Generale prot. n. AOODRAB 202 del 10/01/2013 - non si è raggiunto un accordo per la sottoscrizione di una Ipotesi di Contratto Integrativo Regionale poiché le suddette OO.SS. hanno espresso la volontà di non sottoscrivere alcun contratto integrativo in merito alle retribuzioni di posizione e di risultato dei dirigenti scolastici</w:t>
      </w:r>
      <w:r>
        <w:rPr>
          <w:rFonts w:ascii="Calibri" w:cs="Calibri" w:eastAsia="Calibri" w:hAnsi="Calibri"/>
          <w:sz w:val="19"/>
          <w:szCs w:val="19"/>
          <w:color w:val="auto"/>
        </w:rPr>
        <w:t>.</w:t>
      </w:r>
    </w:p>
    <w:p>
      <w:pPr>
        <w:spacing w:after="0" w:line="81"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L’Ufficio Scolastico Regionale, preso atto di tale volontà, procede ai sensi dell’art. 40, comma 3 ter, del D.lgs. n.165/2001 con atto unilaterale alla ripartizione del fondo regionale per la retribuzione di posizione e di risultato dei Dirigenti Scolastici della regione Abruzzo per l’anno scolastico 2013/2014.</w:t>
      </w:r>
    </w:p>
    <w:p>
      <w:pPr>
        <w:spacing w:after="0" w:line="106"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2</w:t>
      </w:r>
    </w:p>
    <w:p>
      <w:pPr>
        <w:sectPr>
          <w:pgSz w:w="11900" w:h="16838" w:orient="portrait"/>
          <w:cols w:equalWidth="0" w:num="1">
            <w:col w:w="9640"/>
          </w:cols>
          <w:pgMar w:left="1140" w:top="1440" w:right="1120" w:bottom="707"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L’Ipotesi di ripartizione è stata predisposta in attuazione degli obblighi contrattuali richiamati dal CCNL dell’Area V del 15 luglio 2010 - con particolare riguardo agli articoli 6 e 26 - e tenendo conto dei criteri concordati in seno alla Conferenza di servizi del 04/08/2016, al fine di uniformare il trattamento giuridico ed economico dei dirigenti scolastici della Regione Abruzzo a quello di tutti i Dirigenti scolastici a livello nazionale. La ripartizione e l’utilizzo delle risorse del fondo regionale seguono l’articolazione dell’anno scolastico (1° settembre 2013 – 31 agosto 2014).</w:t>
      </w:r>
    </w:p>
    <w:p>
      <w:pPr>
        <w:spacing w:after="0" w:line="79"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Nell’anno scolastico 2013/2014 in Abruzzo risultano n.206 istituzioni scolastiche in organico di diritto e n.182 dirigenti scolastici titolari, di cui n.1 in particolare posizione di stato e n. 43 assunti con decorrenza giuridica dal 1° settembre 2013 ed economica dal 14/10/2013.</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Il fondo regionale assegnato dal MIUR con DDG AOODRUF prot. n.285 del 05/05/2015 (comunicato in data 28/07/ 2015 con nota prot. AOODGPER n.22374) all’Ufficio Scolastico Regionale per l’Abruzzo in base all’organico di diritto dei Dirigenti Scolastici per l’a.s. 2013/2014 è pari ad € 2.826.123,10. Il Fondo viene integrato dalle risorse derivanti dagli incarichi aggiuntivi ai sensi dell’art. 10 del CCNL Area V del 15 luglio 2010 pari ad € 18.395,10.</w:t>
      </w:r>
    </w:p>
    <w:p>
      <w:pPr>
        <w:spacing w:after="0" w:line="82"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Ai sensi dell’art.40, comma 3 quinquies, del D.Lgs. n.165/01, dal Fondo per le retribuzioni di posizione e di risultato per l’a.s. 2013/14 così determinato vengono detratti € 10.496,84 utilizzati per corrispondere le differenze retributive per indennità di posizione e di risultato ad un dirigente scolastico (provvedimento AOODRAB n.3950 del 14.04.2013 – Visto Ragioneria Territoriale dello Stato di L’Aquila n.2114 del 18/06/2013 - in esecuzione della sentenza definitiva n.744/06).</w:t>
      </w:r>
    </w:p>
    <w:p>
      <w:pPr>
        <w:spacing w:after="0" w:line="80" w:lineRule="exact"/>
        <w:rPr>
          <w:sz w:val="20"/>
          <w:szCs w:val="20"/>
          <w:color w:val="auto"/>
        </w:rPr>
      </w:pPr>
    </w:p>
    <w:p>
      <w:pPr>
        <w:jc w:val="both"/>
        <w:spacing w:after="0" w:line="338" w:lineRule="auto"/>
        <w:rPr>
          <w:sz w:val="20"/>
          <w:szCs w:val="20"/>
          <w:color w:val="auto"/>
        </w:rPr>
      </w:pPr>
      <w:r>
        <w:rPr>
          <w:rFonts w:ascii="Times New Roman" w:cs="Times New Roman" w:eastAsia="Times New Roman" w:hAnsi="Times New Roman"/>
          <w:sz w:val="22"/>
          <w:szCs w:val="22"/>
          <w:color w:val="auto"/>
        </w:rPr>
        <w:t>Pertanto il fondo regionale per la determinazione della retribuzione di posizione e di risultato relativo all’anno scolastico 2013-2014 viene quantificato in complessivi € 2.834.021,36.</w:t>
      </w:r>
    </w:p>
    <w:p>
      <w:pPr>
        <w:spacing w:after="0" w:line="48"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Come previsto dall’art.4 – comma 1- del C.I.N. del 22/02/2007 relativo al personale dell’area V della dirigenza scolastica, il fondo è destinato per l’85% delle risorse alla retribuzione di posizione e per il restante 15% alla retribuzione di risultato.</w:t>
      </w:r>
    </w:p>
    <w:p>
      <w:pPr>
        <w:spacing w:after="0" w:line="68"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Ai fini della determinazione della quota variabile della retribuzione di posizione e della retribuzione di risultato le Istituzioni scolastiche della regione sono classificate in tre fasce di complessità di cui all’art. 6 del CCNL dell’Area V del 15 luglio 2010. Il rapporto retributivo annuo tra la fascia più alta e quella più bassa è di 1/1,86, per la fascia intermedia proporzionalmente il rapporto è di 1/1,43.</w:t>
      </w:r>
    </w:p>
    <w:p>
      <w:pPr>
        <w:spacing w:after="0" w:line="76"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Le nuove fasce di complessità delle istituzioni scolastiche della regione approvate con decreto prot.n° AOODRAB 6786 del 16/07/2013, sono calcolate secondo le seguenti percentuali di raggruppamento stabilite con Contratto Integrativo Regionale sottoscritto 13 febbraio 2013: 25% in prima fascia, 60% in seconda fascia, 15% in terza fascia.</w:t>
      </w:r>
    </w:p>
    <w:p>
      <w:pPr>
        <w:spacing w:after="0" w:line="299"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3</w:t>
      </w:r>
    </w:p>
    <w:p>
      <w:pPr>
        <w:sectPr>
          <w:pgSz w:w="11900" w:h="16838" w:orient="portrait"/>
          <w:cols w:equalWidth="0" w:num="1">
            <w:col w:w="9640"/>
          </w:cols>
          <w:pgMar w:left="1140" w:top="1440" w:right="1120" w:bottom="70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In prima fascia risultano n. 75 posizioni (49 dirigenti titolari + 25 dirigenti che in vigenza di contratto mantengono la 1^ fascia + 1 in particolare posizione di stato); in seconda fascia risultano n. 96 posizioni (93 dirigenti titolari + 3 dirigenti che in vigenza di contratto mantengono la 2^ fascia); in terza fascia risultano n.11 posizioni.</w:t>
      </w:r>
    </w:p>
    <w:p>
      <w:pPr>
        <w:spacing w:after="0" w:line="76"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La retribuzione di posizione parte fissa viene calcolata in ragione del servizio prestato (n. 139 unità in servizio per l’intero anno scolastico compreso un dirigente in particolare posizione di stato e n. 43 dirigenti assunti in servizio con decorrenza economica dal 14.10.2013 di cui uno fino al 26.02.2014).</w:t>
      </w:r>
    </w:p>
    <w:p>
      <w:pPr>
        <w:spacing w:after="0" w:line="68" w:lineRule="exact"/>
        <w:rPr>
          <w:sz w:val="20"/>
          <w:szCs w:val="20"/>
          <w:color w:val="auto"/>
        </w:rPr>
      </w:pPr>
    </w:p>
    <w:p>
      <w:pPr>
        <w:jc w:val="both"/>
        <w:spacing w:after="0" w:line="312" w:lineRule="auto"/>
        <w:rPr>
          <w:sz w:val="20"/>
          <w:szCs w:val="20"/>
          <w:color w:val="auto"/>
        </w:rPr>
      </w:pPr>
      <w:r>
        <w:rPr>
          <w:rFonts w:ascii="Times New Roman" w:cs="Times New Roman" w:eastAsia="Times New Roman" w:hAnsi="Times New Roman"/>
          <w:sz w:val="22"/>
          <w:szCs w:val="22"/>
          <w:color w:val="auto"/>
        </w:rPr>
        <w:t>Dai calcoli effettuati in applicazione delle norme contrattuali ai fini della retribuzione di posizione parte variabile risulta disponibile l’importo di € 1.574.111,38. Tale budget determina per ciascuna fascia importi annui inferiori a quelli percepiti in acconto. Si destina una quota della somma residua non utilizzata – Pari ad € 148.026,00 - per integrare il budget in modo da confermare per ciascuna fascia, anche per l’anno scolastico 2013/2014, gli stessi valori di retribuzione di posizione parte variabile già percepiti in acconto.</w:t>
      </w:r>
    </w:p>
    <w:p>
      <w:pPr>
        <w:spacing w:after="0" w:line="77"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Il budget complessivo destinato alla retribuzione di posizione parte variabile pertanto passa ad € 1.722.137,38. Gli importi annui derivanti dalla ipotesi di ripartizione, rispettivamente di € 11.445,67 per la 1^ fascia, € 8.799,63 per la 2^ fascia ed € 6.153,59 per la 3^ fascia non sono superiori a quelli percepiti nell’anno 2010 (art.9, comma 1, del D.L. n.78/2010 e circolare MEF/RGS n.12/2011). Nell’anno scolastico 2010/2011 (C.I.R. 3/12/2010) gli importi erano rispettivamente di € 11.445,78 per la 1^ fascia, € 8.804,44 per la 2^ fascia ed € 6.163,11 per la 3^ fascia.</w:t>
      </w:r>
    </w:p>
    <w:p>
      <w:pPr>
        <w:spacing w:after="0" w:line="80"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Gli importi delle retribuzioni di posizione parte variabile sono calcolati in ragione del servizio prestato (n. 139 unità in servizio per l’intero anno scolastico compreso un dirigente in particolare posizione di stato e n. 43 dirigenti assunti in servizio con decorrenza economica dal 14.10.2013 di cui uno fino al 26.02.2014) e determinano una somma residua non utilizzata (pari ad € 59.549,13) che va ad integrare il budget finalizzato alla retribuzione di risultato e al pagamento delle reggenze.</w:t>
      </w:r>
    </w:p>
    <w:p>
      <w:pPr>
        <w:spacing w:after="0" w:line="82"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Il budget finalizzato alla retribuzione di risultato ed al pagamento delle reggenze (determinato in ragione del 15% del fondo pari ad € 425.103,20 + la somma residua non utilizzata pari ad € 59.549,13) ammonta ad € 484.652,33 - di cui € 183.858,28 sono destinati a retribuire le reggenze ed € 300.794,05 per le retribuzioni di risultato.</w:t>
      </w:r>
    </w:p>
    <w:p>
      <w:pPr>
        <w:spacing w:after="0" w:line="76"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Per quanto concerne la retribuzione di risultato, nelle more della “verifica dei risultati e valutazione del dirigente” prevista dal comma 10 dell’art.20 del CCNL del 11/04/2006, la retribuzione di risultato è definita in relazione alle fasce di complessità delle istituzioni scolastiche e calcolata in ragione del servizio prestato (n. 139 unità in servizio per l’intero anno scolastico compreso un dirigente in particolare posizione di stato e n. 43 dirigenti assunti in servizio con decorrenza economica dal 14.10.2013 di cui uno fino al 26.02.2014).</w:t>
      </w:r>
    </w:p>
    <w:p>
      <w:pPr>
        <w:spacing w:after="0" w:line="200" w:lineRule="exact"/>
        <w:rPr>
          <w:sz w:val="20"/>
          <w:szCs w:val="20"/>
          <w:color w:val="auto"/>
        </w:rPr>
      </w:pPr>
    </w:p>
    <w:p>
      <w:pPr>
        <w:spacing w:after="0" w:line="223"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4</w:t>
      </w:r>
    </w:p>
    <w:p>
      <w:pPr>
        <w:sectPr>
          <w:pgSz w:w="11900" w:h="16838" w:orient="portrait"/>
          <w:cols w:equalWidth="0" w:num="1">
            <w:col w:w="9640"/>
          </w:cols>
          <w:pgMar w:left="1140" w:top="1440" w:right="1120" w:bottom="70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L’integrazione della retribuzione di risultato attribuita per le reggenze, secondo quanto stabilito dall’art. 2, comma 2, del Contratto Integrativo Nazionale sottoscritto il 22 febbraio 2007, è calcolata nella misura dell’80% dell’importo della retribuzione di posizione parte variabile corrispondente alla fascia dell’Istituzione scolastica assegnata in reggenza e determinato in relazione alla durata della reggenza, considerando pari ad un mese la frazione di servizio continuativo non inferiore a 16 giorni.</w:t>
      </w:r>
    </w:p>
    <w:p>
      <w:pPr>
        <w:spacing w:after="0" w:line="82"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Nell’anno scolastico 2013/2014 sono stati conferiti n. 24 incarichi di reggenza di durata annuale (di cui n. 17 su istituzioni scolastiche di 3^ fascia, n. 6 su istituzioni scolastiche di 2^ fascia e n. 1 su istituzioni scolastiche di 1^ fascia). Sono stati conferiti anche n. 47 incarichi di reggenza temporanei (di cui n. 10 su istituzioni scolastiche di 3^ fascia, n. 28 su istituzioni scolastiche di 2^ fascia e n. 9 su istituzioni scolastiche di 1^ fascia).</w:t>
      </w:r>
    </w:p>
    <w:p>
      <w:pPr>
        <w:spacing w:after="0" w:line="80"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Per i Dirigenti in particolare posizione di stato l’art. 13 - comma 4- del Contratto Collettivo Nazionale di Lavoro 11 aprile 2006, prevede la corresponsione della retribuzione di posizione parte variabile e la retribuzione di risultato in ragione della fascia di complessità dell’Istituzione scolastica affidata con incarico nominale.</w:t>
      </w:r>
    </w:p>
    <w:p>
      <w:pPr>
        <w:spacing w:after="0" w:line="78" w:lineRule="exact"/>
        <w:rPr>
          <w:sz w:val="20"/>
          <w:szCs w:val="20"/>
          <w:color w:val="auto"/>
        </w:rPr>
      </w:pPr>
    </w:p>
    <w:p>
      <w:pPr>
        <w:jc w:val="both"/>
        <w:spacing w:after="0" w:line="319" w:lineRule="auto"/>
        <w:rPr>
          <w:sz w:val="20"/>
          <w:szCs w:val="20"/>
          <w:color w:val="auto"/>
        </w:rPr>
      </w:pPr>
      <w:r>
        <w:rPr>
          <w:rFonts w:ascii="Times New Roman" w:cs="Times New Roman" w:eastAsia="Times New Roman" w:hAnsi="Times New Roman"/>
          <w:sz w:val="22"/>
          <w:szCs w:val="22"/>
          <w:color w:val="auto"/>
        </w:rPr>
        <w:t>I criteri e le modalità di utilizzo del fondo regionale definite dal presente provvedimento si applicano ai dirigenti scolastici in servizio nell’a.s. 2013/2014, effettuando i conguagli positivi e/o negativi relativamente alla parte economica.</w:t>
      </w:r>
    </w:p>
    <w:p>
      <w:pPr>
        <w:spacing w:after="0" w:line="71"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Il provvedimento di ripartizione del fondo è stato redatto nel rispetto della normativa vigente in materia e l’applicazione dello stesso rispetta il divieto di superare le somme percepite nell’anno 2010 ad esclusione della retribuzione di risultato e di altri emolumenti non aventi carattere fisso o continuativo (art.9, comma 1, del D.L. n.78/2010 e circolare MEF/RGS n.12/2011). Lo stesso non comporta oneri finanziari superiori a quelli previsti.</w:t>
      </w:r>
    </w:p>
    <w:p>
      <w:pPr>
        <w:spacing w:after="0" w:line="80" w:lineRule="exact"/>
        <w:rPr>
          <w:sz w:val="20"/>
          <w:szCs w:val="20"/>
          <w:color w:val="auto"/>
        </w:rPr>
      </w:pPr>
    </w:p>
    <w:p>
      <w:pPr>
        <w:ind w:left="6360"/>
        <w:spacing w:after="0"/>
        <w:rPr>
          <w:sz w:val="20"/>
          <w:szCs w:val="20"/>
          <w:color w:val="auto"/>
        </w:rPr>
      </w:pPr>
      <w:r>
        <w:rPr>
          <w:rFonts w:ascii="Times New Roman" w:cs="Times New Roman" w:eastAsia="Times New Roman" w:hAnsi="Times New Roman"/>
          <w:sz w:val="22"/>
          <w:szCs w:val="22"/>
          <w:color w:val="auto"/>
        </w:rPr>
        <w:t>IL DIRETTORE GENERALE</w:t>
      </w:r>
    </w:p>
    <w:p>
      <w:pPr>
        <w:spacing w:after="0" w:line="189" w:lineRule="exact"/>
        <w:rPr>
          <w:sz w:val="20"/>
          <w:szCs w:val="20"/>
          <w:color w:val="auto"/>
        </w:rPr>
      </w:pPr>
    </w:p>
    <w:p>
      <w:pPr>
        <w:ind w:left="6800"/>
        <w:spacing w:after="0"/>
        <w:rPr>
          <w:sz w:val="20"/>
          <w:szCs w:val="20"/>
          <w:color w:val="auto"/>
        </w:rPr>
      </w:pPr>
      <w:r>
        <w:rPr>
          <w:rFonts w:ascii="Times New Roman" w:cs="Times New Roman" w:eastAsia="Times New Roman" w:hAnsi="Times New Roman"/>
          <w:sz w:val="22"/>
          <w:szCs w:val="22"/>
          <w:color w:val="auto"/>
        </w:rPr>
        <w:t>Ernesto Pellecchia</w:t>
      </w:r>
    </w:p>
    <w:p>
      <w:pPr>
        <w:spacing w:after="0" w:line="195" w:lineRule="exact"/>
        <w:rPr>
          <w:sz w:val="20"/>
          <w:szCs w:val="20"/>
          <w:color w:val="auto"/>
        </w:rPr>
      </w:pPr>
    </w:p>
    <w:p>
      <w:pPr>
        <w:ind w:left="7920" w:right="460"/>
        <w:spacing w:after="0" w:line="248" w:lineRule="auto"/>
        <w:rPr>
          <w:sz w:val="20"/>
          <w:szCs w:val="20"/>
          <w:color w:val="auto"/>
        </w:rPr>
      </w:pPr>
      <w:r>
        <w:rPr>
          <w:rFonts w:ascii="Arial" w:cs="Arial" w:eastAsia="Arial" w:hAnsi="Arial"/>
          <w:sz w:val="19"/>
          <w:szCs w:val="19"/>
          <w:color w:val="auto"/>
        </w:rPr>
        <w:t>Firmato digitalmente da Ernesto Pellecchia</w:t>
      </w:r>
    </w:p>
    <w:p>
      <w:pPr>
        <w:ind w:left="7920" w:right="420"/>
        <w:spacing w:after="0" w:line="348" w:lineRule="auto"/>
        <w:rPr>
          <w:sz w:val="20"/>
          <w:szCs w:val="20"/>
          <w:color w:val="auto"/>
        </w:rPr>
      </w:pPr>
      <w:r>
        <w:rPr>
          <w:rFonts w:ascii="Arial" w:cs="Arial" w:eastAsia="Arial" w:hAnsi="Arial"/>
          <w:sz w:val="16"/>
          <w:szCs w:val="16"/>
          <w:color w:val="auto"/>
        </w:rPr>
        <w:t>Data: 2016.11.23 09:23:00 +01'00'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5</w:t>
      </w:r>
    </w:p>
    <w:sectPr>
      <w:pgSz w:w="11900" w:h="16838" w:orient="portrait"/>
      <w:cols w:equalWidth="0" w:num="1">
        <w:col w:w="9640"/>
      </w:cols>
      <w:pgMar w:left="1140" w:top="1440" w:right="1120" w:bottom="70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2016-11-23T11:20:34Z</dcterms:created>
  <dcterms:modified xsi:type="dcterms:W3CDTF">2016-11-23T11:20:34Z</dcterms:modified>
</cp:coreProperties>
</file>