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3665220</wp:posOffset>
            </wp:positionH>
            <wp:positionV relativeFrom="page">
              <wp:posOffset>450215</wp:posOffset>
            </wp:positionV>
            <wp:extent cx="581025" cy="6762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4"/>
          <w:szCs w:val="24"/>
          <w:color w:val="auto"/>
        </w:rPr>
      </w:pPr>
    </w:p>
    <w:p>
      <w:pPr>
        <w:ind w:left="88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9" w:lineRule="exact"/>
        <w:rPr>
          <w:sz w:val="24"/>
          <w:szCs w:val="24"/>
          <w:color w:val="auto"/>
        </w:rPr>
      </w:pPr>
    </w:p>
    <w:p>
      <w:pPr>
        <w:ind w:left="216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4"/>
          <w:szCs w:val="24"/>
          <w:color w:val="auto"/>
        </w:rPr>
      </w:pPr>
    </w:p>
    <w:p>
      <w:pPr>
        <w:ind w:left="288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4"/>
          <w:szCs w:val="24"/>
          <w:color w:val="auto"/>
        </w:rPr>
      </w:pPr>
    </w:p>
    <w:p>
      <w:pPr>
        <w:spacing w:after="0" w:line="200" w:lineRule="exact"/>
        <w:rPr>
          <w:sz w:val="24"/>
          <w:szCs w:val="24"/>
          <w:color w:val="auto"/>
        </w:rPr>
      </w:pPr>
    </w:p>
    <w:p>
      <w:pPr>
        <w:spacing w:after="0" w:line="323" w:lineRule="exact"/>
        <w:rPr>
          <w:sz w:val="24"/>
          <w:szCs w:val="24"/>
          <w:color w:val="auto"/>
        </w:rPr>
      </w:pPr>
    </w:p>
    <w:p>
      <w:pPr>
        <w:ind w:left="3500"/>
        <w:spacing w:after="0"/>
        <w:rPr>
          <w:sz w:val="20"/>
          <w:szCs w:val="20"/>
          <w:color w:val="auto"/>
        </w:rPr>
      </w:pPr>
      <w:r>
        <w:rPr>
          <w:rFonts w:ascii="Calibri" w:cs="Calibri" w:eastAsia="Calibri" w:hAnsi="Calibri"/>
          <w:sz w:val="24"/>
          <w:szCs w:val="24"/>
          <w:b w:val="1"/>
          <w:bCs w:val="1"/>
          <w:color w:val="auto"/>
        </w:rPr>
        <w:t>Relazione tecnico-finanziaria</w:t>
      </w:r>
    </w:p>
    <w:p>
      <w:pPr>
        <w:spacing w:after="0" w:line="162" w:lineRule="exact"/>
        <w:rPr>
          <w:sz w:val="24"/>
          <w:szCs w:val="24"/>
          <w:color w:val="auto"/>
        </w:rPr>
      </w:pPr>
    </w:p>
    <w:p>
      <w:pPr>
        <w:ind w:left="2000"/>
        <w:spacing w:after="0"/>
        <w:rPr>
          <w:sz w:val="20"/>
          <w:szCs w:val="20"/>
          <w:color w:val="auto"/>
        </w:rPr>
      </w:pPr>
      <w:r>
        <w:rPr>
          <w:rFonts w:ascii="Calibri" w:cs="Calibri" w:eastAsia="Calibri" w:hAnsi="Calibri"/>
          <w:sz w:val="22"/>
          <w:szCs w:val="22"/>
          <w:color w:val="auto"/>
        </w:rPr>
        <w:t>(articolo 40, comma 3-sexies, Decreto Legislativo n. 165 del 2001)</w:t>
      </w:r>
    </w:p>
    <w:p>
      <w:pPr>
        <w:spacing w:after="0" w:line="155" w:lineRule="exact"/>
        <w:rPr>
          <w:sz w:val="24"/>
          <w:szCs w:val="24"/>
          <w:color w:val="auto"/>
        </w:rPr>
      </w:pPr>
    </w:p>
    <w:p>
      <w:pPr>
        <w:ind w:left="1680"/>
        <w:spacing w:after="0"/>
        <w:rPr>
          <w:sz w:val="20"/>
          <w:szCs w:val="20"/>
          <w:color w:val="auto"/>
        </w:rPr>
      </w:pPr>
      <w:r>
        <w:rPr>
          <w:rFonts w:ascii="Calibri" w:cs="Calibri" w:eastAsia="Calibri" w:hAnsi="Calibri"/>
          <w:sz w:val="20"/>
          <w:szCs w:val="20"/>
          <w:i w:val="1"/>
          <w:iCs w:val="1"/>
          <w:color w:val="auto"/>
        </w:rPr>
        <w:t>Redatta secondo lo schema allegato alla Circolare MEF-RGS n.25 del 19/07/2012</w:t>
      </w:r>
    </w:p>
    <w:p>
      <w:pPr>
        <w:spacing w:after="0" w:line="126" w:lineRule="exact"/>
        <w:rPr>
          <w:sz w:val="24"/>
          <w:szCs w:val="24"/>
          <w:color w:val="auto"/>
        </w:rPr>
      </w:pPr>
    </w:p>
    <w:p>
      <w:pPr>
        <w:jc w:val="both"/>
        <w:spacing w:after="0" w:line="244" w:lineRule="auto"/>
        <w:rPr>
          <w:sz w:val="20"/>
          <w:szCs w:val="20"/>
          <w:color w:val="auto"/>
        </w:rPr>
      </w:pPr>
      <w:r>
        <w:rPr>
          <w:rFonts w:ascii="Calibri" w:cs="Calibri" w:eastAsia="Calibri" w:hAnsi="Calibri"/>
          <w:sz w:val="24"/>
          <w:szCs w:val="24"/>
          <w:b w:val="1"/>
          <w:bCs w:val="1"/>
          <w:color w:val="auto"/>
        </w:rPr>
        <w:t>Allegata all’Ipotesi di Atto Unilaterale in materia di determinazione e utilizzazione del fondo regionale per la retribuzione di posizione e di risultato relative ai dirigenti scolastici in servizio nella regione Abruzzo - anno scolastico 2013-14.</w:t>
      </w:r>
    </w:p>
    <w:p>
      <w:pPr>
        <w:spacing w:after="0" w:line="200" w:lineRule="exact"/>
        <w:rPr>
          <w:sz w:val="24"/>
          <w:szCs w:val="24"/>
          <w:color w:val="auto"/>
        </w:rPr>
      </w:pPr>
    </w:p>
    <w:p>
      <w:pPr>
        <w:spacing w:after="0" w:line="200" w:lineRule="exact"/>
        <w:rPr>
          <w:sz w:val="24"/>
          <w:szCs w:val="24"/>
          <w:color w:val="auto"/>
        </w:rPr>
      </w:pPr>
    </w:p>
    <w:p>
      <w:pPr>
        <w:spacing w:after="0" w:line="239" w:lineRule="exact"/>
        <w:rPr>
          <w:sz w:val="24"/>
          <w:szCs w:val="24"/>
          <w:color w:val="auto"/>
        </w:rPr>
      </w:pPr>
    </w:p>
    <w:p>
      <w:pPr>
        <w:spacing w:after="0"/>
        <w:tabs>
          <w:tab w:leader="none" w:pos="700" w:val="left"/>
        </w:tabs>
        <w:rPr>
          <w:sz w:val="20"/>
          <w:szCs w:val="20"/>
          <w:color w:val="auto"/>
        </w:rPr>
      </w:pPr>
      <w:r>
        <w:rPr>
          <w:rFonts w:ascii="Calibri" w:cs="Calibri" w:eastAsia="Calibri" w:hAnsi="Calibri"/>
          <w:sz w:val="24"/>
          <w:szCs w:val="24"/>
          <w:b w:val="1"/>
          <w:bCs w:val="1"/>
          <w:i w:val="1"/>
          <w:iCs w:val="1"/>
          <w:color w:val="auto"/>
        </w:rPr>
        <w:t>I.1 -</w:t>
      </w:r>
      <w:r>
        <w:rPr>
          <w:sz w:val="20"/>
          <w:szCs w:val="20"/>
          <w:color w:val="auto"/>
        </w:rPr>
        <w:tab/>
      </w:r>
      <w:r>
        <w:rPr>
          <w:rFonts w:ascii="Calibri" w:cs="Calibri" w:eastAsia="Calibri" w:hAnsi="Calibri"/>
          <w:sz w:val="23"/>
          <w:szCs w:val="23"/>
          <w:b w:val="1"/>
          <w:bCs w:val="1"/>
          <w:i w:val="1"/>
          <w:iCs w:val="1"/>
          <w:color w:val="auto"/>
        </w:rPr>
        <w:t>Modulo I - La costituzione del Fondo per la contrattazione integrativa</w:t>
      </w:r>
    </w:p>
    <w:p>
      <w:pPr>
        <w:spacing w:after="0" w:line="38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-15875</wp:posOffset>
                </wp:positionH>
                <wp:positionV relativeFrom="paragraph">
                  <wp:posOffset>19050</wp:posOffset>
                </wp:positionV>
                <wp:extent cx="5939790"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39790" cy="0"/>
                        </a:xfrm>
                        <a:prstGeom prst="line">
                          <a:avLst/>
                        </a:prstGeom>
                        <a:solidFill>
                          <a:srgbClr val="FFFFFF"/>
                        </a:solidFill>
                        <a:ln w="6096">
                          <a:solidFill>
                            <a:srgbClr val="C0C0C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499pt,1.5pt" to="466.45pt,1.5pt" o:allowincell="f" strokecolor="#C0C0C0" strokeweight="0.48pt"/>
            </w:pict>
          </mc:Fallback>
        </mc:AlternateContent>
      </w:r>
    </w:p>
    <w:p>
      <w:pPr>
        <w:spacing w:after="0"/>
        <w:tabs>
          <w:tab w:leader="none" w:pos="840" w:val="left"/>
        </w:tabs>
        <w:rPr>
          <w:sz w:val="20"/>
          <w:szCs w:val="20"/>
          <w:color w:val="auto"/>
        </w:rPr>
      </w:pPr>
      <w:r>
        <w:rPr>
          <w:rFonts w:ascii="Calibri" w:cs="Calibri" w:eastAsia="Calibri" w:hAnsi="Calibri"/>
          <w:sz w:val="24"/>
          <w:szCs w:val="24"/>
          <w:i w:val="1"/>
          <w:iCs w:val="1"/>
          <w:color w:val="auto"/>
        </w:rPr>
        <w:t>I.1.1 -</w:t>
      </w:r>
      <w:r>
        <w:rPr>
          <w:sz w:val="20"/>
          <w:szCs w:val="20"/>
          <w:color w:val="auto"/>
        </w:rPr>
        <w:tab/>
      </w:r>
      <w:r>
        <w:rPr>
          <w:rFonts w:ascii="Calibri" w:cs="Calibri" w:eastAsia="Calibri" w:hAnsi="Calibri"/>
          <w:sz w:val="23"/>
          <w:szCs w:val="23"/>
          <w:i w:val="1"/>
          <w:iCs w:val="1"/>
          <w:color w:val="auto"/>
        </w:rPr>
        <w:t>Sezione I - Risorse fisse aventi carattere di certezza e stabilità</w:t>
      </w:r>
    </w:p>
    <w:p>
      <w:pPr>
        <w:spacing w:after="0" w:line="250" w:lineRule="exact"/>
        <w:rPr>
          <w:sz w:val="24"/>
          <w:szCs w:val="24"/>
          <w:color w:val="auto"/>
        </w:rPr>
      </w:pPr>
    </w:p>
    <w:p>
      <w:pPr>
        <w:jc w:val="both"/>
        <w:ind w:left="720" w:hanging="717"/>
        <w:spacing w:after="0"/>
        <w:tabs>
          <w:tab w:leader="none" w:pos="720" w:val="left"/>
        </w:tabs>
        <w:numPr>
          <w:ilvl w:val="0"/>
          <w:numId w:val="1"/>
        </w:numPr>
        <w:rPr>
          <w:rFonts w:ascii="Calibri" w:cs="Calibri" w:eastAsia="Calibri" w:hAnsi="Calibri"/>
          <w:sz w:val="24"/>
          <w:szCs w:val="24"/>
          <w:b w:val="1"/>
          <w:bCs w:val="1"/>
          <w:color w:val="auto"/>
        </w:rPr>
      </w:pPr>
      <w:r>
        <w:rPr>
          <w:rFonts w:ascii="Calibri" w:cs="Calibri" w:eastAsia="Calibri" w:hAnsi="Calibri"/>
          <w:sz w:val="24"/>
          <w:szCs w:val="24"/>
          <w:b w:val="1"/>
          <w:bCs w:val="1"/>
          <w:color w:val="auto"/>
        </w:rPr>
        <w:t>Risorse storiche consolidate</w:t>
      </w:r>
    </w:p>
    <w:p>
      <w:pPr>
        <w:spacing w:after="0" w:line="118" w:lineRule="exact"/>
        <w:rPr>
          <w:sz w:val="24"/>
          <w:szCs w:val="24"/>
          <w:color w:val="auto"/>
        </w:rPr>
      </w:pPr>
    </w:p>
    <w:p>
      <w:pPr>
        <w:jc w:val="both"/>
        <w:ind w:firstLine="566"/>
        <w:spacing w:after="0" w:line="244" w:lineRule="auto"/>
        <w:rPr>
          <w:sz w:val="20"/>
          <w:szCs w:val="20"/>
          <w:color w:val="auto"/>
        </w:rPr>
      </w:pPr>
      <w:r>
        <w:rPr>
          <w:rFonts w:ascii="Calibri" w:cs="Calibri" w:eastAsia="Calibri" w:hAnsi="Calibri"/>
          <w:sz w:val="22"/>
          <w:szCs w:val="22"/>
          <w:color w:val="auto"/>
        </w:rPr>
        <w:t>Il fondo regionale per l’anno scolastico 2013/2014 assegnato dal MIUR ai sensi dell’art. 25 comma 3 CCNL Area V del 15.07.2010 – con DDG AOODGRUF prot.n. 285 del 05/05/2015 e comunicato con nota prot.n AOODGPER 22374 del 28/07/2015 - ammonta ad € 2.826.123,10 lordo dipendente.</w:t>
      </w:r>
    </w:p>
    <w:p>
      <w:pPr>
        <w:spacing w:after="0" w:line="107" w:lineRule="exact"/>
        <w:rPr>
          <w:sz w:val="24"/>
          <w:szCs w:val="24"/>
          <w:color w:val="auto"/>
        </w:rPr>
      </w:pPr>
    </w:p>
    <w:p>
      <w:pPr>
        <w:jc w:val="both"/>
        <w:ind w:firstLine="566"/>
        <w:spacing w:after="0" w:line="249" w:lineRule="auto"/>
        <w:rPr>
          <w:sz w:val="20"/>
          <w:szCs w:val="20"/>
          <w:color w:val="auto"/>
        </w:rPr>
      </w:pPr>
      <w:r>
        <w:rPr>
          <w:rFonts w:ascii="Calibri" w:cs="Calibri" w:eastAsia="Calibri" w:hAnsi="Calibri"/>
          <w:sz w:val="22"/>
          <w:szCs w:val="22"/>
          <w:color w:val="auto"/>
        </w:rPr>
        <w:t>Tali risorse sono destinate alla retribuzione di posizione fissa e variabile ed alla retribuzione di risultato per l’anno scolastico 2013/2014.</w:t>
      </w:r>
    </w:p>
    <w:p>
      <w:pPr>
        <w:spacing w:after="0" w:line="102" w:lineRule="exact"/>
        <w:rPr>
          <w:sz w:val="24"/>
          <w:szCs w:val="24"/>
          <w:color w:val="auto"/>
        </w:rPr>
      </w:pPr>
    </w:p>
    <w:p>
      <w:pPr>
        <w:jc w:val="both"/>
        <w:ind w:left="720" w:hanging="717"/>
        <w:spacing w:after="0"/>
        <w:tabs>
          <w:tab w:leader="none" w:pos="720" w:val="left"/>
        </w:tabs>
        <w:numPr>
          <w:ilvl w:val="0"/>
          <w:numId w:val="2"/>
        </w:numPr>
        <w:rPr>
          <w:rFonts w:ascii="Calibri" w:cs="Calibri" w:eastAsia="Calibri" w:hAnsi="Calibri"/>
          <w:sz w:val="24"/>
          <w:szCs w:val="24"/>
          <w:b w:val="1"/>
          <w:bCs w:val="1"/>
          <w:color w:val="auto"/>
        </w:rPr>
      </w:pPr>
      <w:r>
        <w:rPr>
          <w:rFonts w:ascii="Calibri" w:cs="Calibri" w:eastAsia="Calibri" w:hAnsi="Calibri"/>
          <w:sz w:val="24"/>
          <w:szCs w:val="24"/>
          <w:b w:val="1"/>
          <w:bCs w:val="1"/>
          <w:color w:val="auto"/>
        </w:rPr>
        <w:t>Incrementi esplicitamente quantificati in sede di Ccnl/Ccrl/Ccpl</w:t>
      </w:r>
    </w:p>
    <w:p>
      <w:pPr>
        <w:spacing w:after="0" w:line="121" w:lineRule="exact"/>
        <w:rPr>
          <w:rFonts w:ascii="Calibri" w:cs="Calibri" w:eastAsia="Calibri" w:hAnsi="Calibri"/>
          <w:sz w:val="24"/>
          <w:szCs w:val="24"/>
          <w:b w:val="1"/>
          <w:bCs w:val="1"/>
          <w:color w:val="auto"/>
        </w:rPr>
      </w:pPr>
    </w:p>
    <w:p>
      <w:pPr>
        <w:jc w:val="both"/>
        <w:ind w:left="560"/>
        <w:spacing w:after="0"/>
        <w:rPr>
          <w:rFonts w:ascii="Calibri" w:cs="Calibri" w:eastAsia="Calibri" w:hAnsi="Calibri"/>
          <w:sz w:val="24"/>
          <w:szCs w:val="24"/>
          <w:b w:val="1"/>
          <w:bCs w:val="1"/>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118" w:lineRule="exact"/>
        <w:rPr>
          <w:rFonts w:ascii="Calibri" w:cs="Calibri" w:eastAsia="Calibri" w:hAnsi="Calibri"/>
          <w:sz w:val="24"/>
          <w:szCs w:val="24"/>
          <w:b w:val="1"/>
          <w:bCs w:val="1"/>
          <w:color w:val="auto"/>
        </w:rPr>
      </w:pPr>
    </w:p>
    <w:p>
      <w:pPr>
        <w:jc w:val="both"/>
        <w:ind w:left="720" w:hanging="717"/>
        <w:spacing w:after="0"/>
        <w:tabs>
          <w:tab w:leader="none" w:pos="720" w:val="left"/>
        </w:tabs>
        <w:numPr>
          <w:ilvl w:val="0"/>
          <w:numId w:val="2"/>
        </w:numPr>
        <w:rPr>
          <w:rFonts w:ascii="Calibri" w:cs="Calibri" w:eastAsia="Calibri" w:hAnsi="Calibri"/>
          <w:sz w:val="24"/>
          <w:szCs w:val="24"/>
          <w:b w:val="1"/>
          <w:bCs w:val="1"/>
          <w:color w:val="auto"/>
        </w:rPr>
      </w:pPr>
      <w:r>
        <w:rPr>
          <w:rFonts w:ascii="Calibri" w:cs="Calibri" w:eastAsia="Calibri" w:hAnsi="Calibri"/>
          <w:sz w:val="24"/>
          <w:szCs w:val="24"/>
          <w:b w:val="1"/>
          <w:bCs w:val="1"/>
          <w:color w:val="auto"/>
        </w:rPr>
        <w:t>Altri incrementi con carattere di certezza e stabilità</w:t>
      </w:r>
    </w:p>
    <w:p>
      <w:pPr>
        <w:spacing w:after="0" w:line="122" w:lineRule="exact"/>
        <w:rPr>
          <w:sz w:val="24"/>
          <w:szCs w:val="24"/>
          <w:color w:val="auto"/>
        </w:rPr>
      </w:pPr>
    </w:p>
    <w:p>
      <w:pPr>
        <w:ind w:left="56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228" w:lineRule="exact"/>
        <w:rPr>
          <w:sz w:val="24"/>
          <w:szCs w:val="24"/>
          <w:color w:val="auto"/>
        </w:rPr>
      </w:pPr>
    </w:p>
    <w:p>
      <w:pPr>
        <w:spacing w:after="0"/>
        <w:tabs>
          <w:tab w:leader="none" w:pos="840" w:val="left"/>
        </w:tabs>
        <w:rPr>
          <w:sz w:val="20"/>
          <w:szCs w:val="20"/>
          <w:color w:val="auto"/>
        </w:rPr>
      </w:pPr>
      <w:r>
        <w:rPr>
          <w:rFonts w:ascii="Calibri" w:cs="Calibri" w:eastAsia="Calibri" w:hAnsi="Calibri"/>
          <w:sz w:val="24"/>
          <w:szCs w:val="24"/>
          <w:i w:val="1"/>
          <w:iCs w:val="1"/>
          <w:color w:val="auto"/>
        </w:rPr>
        <w:t>I.1.2 -</w:t>
      </w:r>
      <w:r>
        <w:rPr>
          <w:sz w:val="20"/>
          <w:szCs w:val="20"/>
          <w:color w:val="auto"/>
        </w:rPr>
        <w:tab/>
      </w:r>
      <w:r>
        <w:rPr>
          <w:rFonts w:ascii="Calibri" w:cs="Calibri" w:eastAsia="Calibri" w:hAnsi="Calibri"/>
          <w:sz w:val="24"/>
          <w:szCs w:val="24"/>
          <w:i w:val="1"/>
          <w:iCs w:val="1"/>
          <w:color w:val="auto"/>
        </w:rPr>
        <w:t>Sezione II - Risorse variabili</w:t>
      </w:r>
    </w:p>
    <w:p>
      <w:pPr>
        <w:spacing w:after="0" w:line="249" w:lineRule="exact"/>
        <w:rPr>
          <w:sz w:val="24"/>
          <w:szCs w:val="24"/>
          <w:color w:val="auto"/>
        </w:rPr>
      </w:pPr>
    </w:p>
    <w:p>
      <w:pPr>
        <w:jc w:val="both"/>
        <w:ind w:firstLine="567"/>
        <w:spacing w:after="0" w:line="244" w:lineRule="auto"/>
        <w:rPr>
          <w:sz w:val="20"/>
          <w:szCs w:val="20"/>
          <w:color w:val="auto"/>
        </w:rPr>
      </w:pPr>
      <w:r>
        <w:rPr>
          <w:rFonts w:ascii="Calibri" w:cs="Calibri" w:eastAsia="Calibri" w:hAnsi="Calibri"/>
          <w:sz w:val="22"/>
          <w:szCs w:val="22"/>
          <w:color w:val="auto"/>
        </w:rPr>
        <w:t>Gli incarichi aggiuntivi svolti dai Dirigenti Scolastici dal 01/01/2012 al 31/12/2012, che incrementano il fondo regionale ai sensi dell’art. 10 del CCNL Area V del 15.07.2010, ammontano ad € 18.395,10 lordo dipendente.</w:t>
      </w:r>
    </w:p>
    <w:p>
      <w:pPr>
        <w:spacing w:after="0" w:line="107" w:lineRule="exact"/>
        <w:rPr>
          <w:sz w:val="24"/>
          <w:szCs w:val="24"/>
          <w:color w:val="auto"/>
        </w:rPr>
      </w:pPr>
    </w:p>
    <w:p>
      <w:pPr>
        <w:ind w:left="560"/>
        <w:spacing w:after="0"/>
        <w:rPr>
          <w:sz w:val="20"/>
          <w:szCs w:val="20"/>
          <w:color w:val="auto"/>
        </w:rPr>
      </w:pPr>
      <w:r>
        <w:rPr>
          <w:rFonts w:ascii="Calibri" w:cs="Calibri" w:eastAsia="Calibri" w:hAnsi="Calibri"/>
          <w:sz w:val="22"/>
          <w:szCs w:val="22"/>
          <w:color w:val="auto"/>
        </w:rPr>
        <w:t>Tale somma è stata versata in conto entrata Tesoro Capo XIII cap. 3408 – art.3.</w:t>
      </w:r>
    </w:p>
    <w:p>
      <w:pPr>
        <w:spacing w:after="0" w:line="231" w:lineRule="exact"/>
        <w:rPr>
          <w:sz w:val="24"/>
          <w:szCs w:val="24"/>
          <w:color w:val="auto"/>
        </w:rPr>
      </w:pPr>
    </w:p>
    <w:p>
      <w:pPr>
        <w:spacing w:after="0"/>
        <w:tabs>
          <w:tab w:leader="none" w:pos="840" w:val="left"/>
        </w:tabs>
        <w:rPr>
          <w:sz w:val="20"/>
          <w:szCs w:val="20"/>
          <w:color w:val="auto"/>
        </w:rPr>
      </w:pPr>
      <w:r>
        <w:rPr>
          <w:rFonts w:ascii="Calibri" w:cs="Calibri" w:eastAsia="Calibri" w:hAnsi="Calibri"/>
          <w:sz w:val="24"/>
          <w:szCs w:val="24"/>
          <w:i w:val="1"/>
          <w:iCs w:val="1"/>
          <w:color w:val="auto"/>
        </w:rPr>
        <w:t>I.1.3 -</w:t>
      </w:r>
      <w:r>
        <w:rPr>
          <w:sz w:val="20"/>
          <w:szCs w:val="20"/>
          <w:color w:val="auto"/>
        </w:rPr>
        <w:tab/>
      </w:r>
      <w:r>
        <w:rPr>
          <w:rFonts w:ascii="Calibri" w:cs="Calibri" w:eastAsia="Calibri" w:hAnsi="Calibri"/>
          <w:sz w:val="24"/>
          <w:szCs w:val="24"/>
          <w:i w:val="1"/>
          <w:iCs w:val="1"/>
          <w:color w:val="auto"/>
        </w:rPr>
        <w:t>Sezione III - (eventuali) Decurtazioni del Fondo</w:t>
      </w:r>
    </w:p>
    <w:p>
      <w:pPr>
        <w:spacing w:after="0" w:line="249" w:lineRule="exact"/>
        <w:rPr>
          <w:sz w:val="24"/>
          <w:szCs w:val="24"/>
          <w:color w:val="auto"/>
        </w:rPr>
      </w:pPr>
    </w:p>
    <w:p>
      <w:pPr>
        <w:jc w:val="both"/>
        <w:ind w:left="280" w:hanging="277"/>
        <w:spacing w:after="0" w:line="247" w:lineRule="auto"/>
        <w:tabs>
          <w:tab w:leader="none" w:pos="280" w:val="left"/>
        </w:tabs>
        <w:numPr>
          <w:ilvl w:val="0"/>
          <w:numId w:val="3"/>
        </w:numPr>
        <w:rPr>
          <w:rFonts w:ascii="Calibri" w:cs="Calibri" w:eastAsia="Calibri" w:hAnsi="Calibri"/>
          <w:sz w:val="22"/>
          <w:szCs w:val="22"/>
          <w:color w:val="auto"/>
        </w:rPr>
      </w:pPr>
      <w:r>
        <w:rPr>
          <w:rFonts w:ascii="Calibri" w:cs="Calibri" w:eastAsia="Calibri" w:hAnsi="Calibri"/>
          <w:sz w:val="22"/>
          <w:szCs w:val="22"/>
          <w:color w:val="auto"/>
        </w:rPr>
        <w:t>€ 10.496,84 per recupero ai sensi dell’art.40 - comma 3 quinquies - del D.Lgs. n.165/01, utilizzati per corrispondere le differenze retributive per indennità di posizione e di risultato ad un dirigente</w:t>
      </w:r>
    </w:p>
    <w:p>
      <w:pPr>
        <w:spacing w:after="0" w:line="20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-15875</wp:posOffset>
                </wp:positionH>
                <wp:positionV relativeFrom="paragraph">
                  <wp:posOffset>342900</wp:posOffset>
                </wp:positionV>
                <wp:extent cx="593979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39790" cy="0"/>
                        </a:xfrm>
                        <a:prstGeom prst="line">
                          <a:avLst/>
                        </a:prstGeom>
                        <a:solidFill>
                          <a:srgbClr val="FFFFFF"/>
                        </a:solidFill>
                        <a:ln w="3035">
                          <a:solidFill>
                            <a:srgbClr val="4F81BD"/>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499pt,27pt" to="466.45pt,27pt" o:allowincell="f" strokecolor="#4F81BD" strokeweight="0.239pt"/>
            </w:pict>
          </mc:Fallback>
        </mc:AlternateContent>
      </w:r>
    </w:p>
    <w:p>
      <w:pPr>
        <w:spacing w:after="0" w:line="350" w:lineRule="exact"/>
        <w:rPr>
          <w:sz w:val="24"/>
          <w:szCs w:val="24"/>
          <w:color w:val="auto"/>
        </w:rPr>
      </w:pPr>
    </w:p>
    <w:p>
      <w:pPr>
        <w:ind w:left="9200"/>
        <w:spacing w:after="0"/>
        <w:rPr>
          <w:sz w:val="20"/>
          <w:szCs w:val="20"/>
          <w:color w:val="auto"/>
        </w:rPr>
      </w:pPr>
      <w:r>
        <w:rPr>
          <w:rFonts w:ascii="Calibri" w:cs="Calibri" w:eastAsia="Calibri" w:hAnsi="Calibri"/>
          <w:sz w:val="18"/>
          <w:szCs w:val="18"/>
          <w:i w:val="1"/>
          <w:iCs w:val="1"/>
          <w:color w:val="4F81BD"/>
        </w:rPr>
        <w:t>1</w:t>
      </w:r>
    </w:p>
    <w:p>
      <w:pPr>
        <w:sectPr>
          <w:pgSz w:w="11900" w:h="16838" w:orient="portrait"/>
          <w:cols w:equalWidth="0" w:num="1">
            <w:col w:w="9300"/>
          </w:cols>
          <w:pgMar w:left="1300" w:top="1440" w:right="1300" w:bottom="567" w:gutter="0" w:footer="0" w:header="0"/>
        </w:sectPr>
      </w:pPr>
    </w:p>
    <w:bookmarkStart w:id="1" w:name="page2"/>
    <w:bookmarkEnd w:id="1"/>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450215</wp:posOffset>
            </wp:positionV>
            <wp:extent cx="581025" cy="6762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ind w:left="88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9" w:lineRule="exact"/>
        <w:rPr>
          <w:sz w:val="20"/>
          <w:szCs w:val="20"/>
          <w:color w:val="auto"/>
        </w:rPr>
      </w:pPr>
    </w:p>
    <w:p>
      <w:pPr>
        <w:ind w:left="216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0"/>
          <w:szCs w:val="20"/>
          <w:color w:val="auto"/>
        </w:rPr>
      </w:pPr>
    </w:p>
    <w:p>
      <w:pPr>
        <w:ind w:left="288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363" w:lineRule="exact"/>
        <w:rPr>
          <w:sz w:val="20"/>
          <w:szCs w:val="20"/>
          <w:color w:val="auto"/>
        </w:rPr>
      </w:pPr>
    </w:p>
    <w:p>
      <w:pPr>
        <w:ind w:left="280"/>
        <w:spacing w:after="0" w:line="249" w:lineRule="auto"/>
        <w:rPr>
          <w:sz w:val="20"/>
          <w:szCs w:val="20"/>
          <w:color w:val="auto"/>
        </w:rPr>
      </w:pPr>
      <w:r>
        <w:rPr>
          <w:rFonts w:ascii="Calibri" w:cs="Calibri" w:eastAsia="Calibri" w:hAnsi="Calibri"/>
          <w:sz w:val="22"/>
          <w:szCs w:val="22"/>
          <w:color w:val="auto"/>
        </w:rPr>
        <w:t>scolastico (provvedimento AOODRAB n.3950 del 14.04.2013 – Visto Ragioneria Territoriale dello Stato di L’Aquila n.2114 del 18/06/2013 - in esecuzione della sentenza definitiva n.744/06).</w:t>
      </w:r>
    </w:p>
    <w:p>
      <w:pPr>
        <w:spacing w:after="0" w:line="200" w:lineRule="exact"/>
        <w:rPr>
          <w:sz w:val="20"/>
          <w:szCs w:val="20"/>
          <w:color w:val="auto"/>
        </w:rPr>
      </w:pPr>
    </w:p>
    <w:p>
      <w:pPr>
        <w:spacing w:after="0" w:line="400" w:lineRule="exact"/>
        <w:rPr>
          <w:sz w:val="20"/>
          <w:szCs w:val="20"/>
          <w:color w:val="auto"/>
        </w:rPr>
      </w:pPr>
    </w:p>
    <w:p>
      <w:pPr>
        <w:spacing w:after="0"/>
        <w:tabs>
          <w:tab w:leader="none" w:pos="840" w:val="left"/>
        </w:tabs>
        <w:rPr>
          <w:sz w:val="20"/>
          <w:szCs w:val="20"/>
          <w:color w:val="auto"/>
        </w:rPr>
      </w:pPr>
      <w:r>
        <w:rPr>
          <w:rFonts w:ascii="Calibri" w:cs="Calibri" w:eastAsia="Calibri" w:hAnsi="Calibri"/>
          <w:sz w:val="24"/>
          <w:szCs w:val="24"/>
          <w:i w:val="1"/>
          <w:iCs w:val="1"/>
          <w:color w:val="auto"/>
        </w:rPr>
        <w:t>I.1.4 -</w:t>
      </w:r>
      <w:r>
        <w:rPr>
          <w:sz w:val="20"/>
          <w:szCs w:val="20"/>
          <w:color w:val="auto"/>
        </w:rPr>
        <w:tab/>
      </w:r>
      <w:r>
        <w:rPr>
          <w:rFonts w:ascii="Calibri" w:cs="Calibri" w:eastAsia="Calibri" w:hAnsi="Calibri"/>
          <w:sz w:val="24"/>
          <w:szCs w:val="24"/>
          <w:i w:val="1"/>
          <w:iCs w:val="1"/>
          <w:color w:val="auto"/>
        </w:rPr>
        <w:t>Sezione IV - Sintesi della costituzione del Fondo sottoposto a certificazione</w:t>
      </w:r>
    </w:p>
    <w:p>
      <w:pPr>
        <w:spacing w:after="0" w:line="249" w:lineRule="exact"/>
        <w:rPr>
          <w:sz w:val="20"/>
          <w:szCs w:val="20"/>
          <w:color w:val="auto"/>
        </w:rPr>
      </w:pPr>
    </w:p>
    <w:p>
      <w:pPr>
        <w:ind w:left="180"/>
        <w:spacing w:after="0" w:line="249" w:lineRule="auto"/>
        <w:rPr>
          <w:sz w:val="20"/>
          <w:szCs w:val="20"/>
          <w:color w:val="auto"/>
        </w:rPr>
      </w:pPr>
      <w:r>
        <w:rPr>
          <w:rFonts w:ascii="Calibri" w:cs="Calibri" w:eastAsia="Calibri" w:hAnsi="Calibri"/>
          <w:sz w:val="22"/>
          <w:szCs w:val="22"/>
          <w:color w:val="auto"/>
        </w:rPr>
        <w:t>Questa sezione è dedicata alla sintesi del Fondo sottoposto a certificazione, elaborato sulla base delle sezioni precedenti:</w:t>
      </w:r>
    </w:p>
    <w:p>
      <w:pPr>
        <w:spacing w:after="0" w:line="100" w:lineRule="exact"/>
        <w:rPr>
          <w:sz w:val="20"/>
          <w:szCs w:val="20"/>
          <w:color w:val="auto"/>
        </w:rPr>
      </w:pPr>
    </w:p>
    <w:p>
      <w:pPr>
        <w:jc w:val="both"/>
        <w:ind w:left="860" w:hanging="299"/>
        <w:spacing w:after="0" w:line="244" w:lineRule="auto"/>
        <w:tabs>
          <w:tab w:leader="none" w:pos="840" w:val="left"/>
        </w:tabs>
        <w:rPr>
          <w:sz w:val="20"/>
          <w:szCs w:val="20"/>
          <w:color w:val="auto"/>
        </w:rPr>
      </w:pPr>
      <w:r>
        <w:rPr>
          <w:rFonts w:ascii="Calibri" w:cs="Calibri" w:eastAsia="Calibri" w:hAnsi="Calibri"/>
          <w:sz w:val="22"/>
          <w:szCs w:val="22"/>
          <w:color w:val="auto"/>
        </w:rPr>
        <w:t>a)</w:t>
      </w:r>
      <w:r>
        <w:rPr>
          <w:sz w:val="20"/>
          <w:szCs w:val="20"/>
          <w:color w:val="auto"/>
        </w:rPr>
        <w:tab/>
      </w:r>
      <w:r>
        <w:rPr>
          <w:rFonts w:ascii="Calibri" w:cs="Calibri" w:eastAsia="Calibri" w:hAnsi="Calibri"/>
          <w:sz w:val="22"/>
          <w:szCs w:val="22"/>
          <w:u w:val="single" w:color="auto"/>
          <w:color w:val="auto"/>
        </w:rPr>
        <w:t>Totale risorse fisse aventi carattere di certezza e stabilità sottoposto a certificazione</w:t>
      </w:r>
      <w:r>
        <w:rPr>
          <w:rFonts w:ascii="Calibri" w:cs="Calibri" w:eastAsia="Calibri" w:hAnsi="Calibri"/>
          <w:sz w:val="22"/>
          <w:szCs w:val="22"/>
          <w:color w:val="auto"/>
        </w:rPr>
        <w:t>, determinato dal totale della sezione 1.1 eventualmente ridotta per le relative decurtazioni come quantificate nella sezione 1.3 € 2.826.123,10</w:t>
      </w:r>
    </w:p>
    <w:p>
      <w:pPr>
        <w:spacing w:after="0" w:line="107" w:lineRule="exact"/>
        <w:rPr>
          <w:sz w:val="20"/>
          <w:szCs w:val="20"/>
          <w:color w:val="auto"/>
        </w:rPr>
      </w:pPr>
    </w:p>
    <w:p>
      <w:pPr>
        <w:jc w:val="both"/>
        <w:ind w:left="860" w:hanging="290"/>
        <w:spacing w:after="0" w:line="249" w:lineRule="auto"/>
        <w:tabs>
          <w:tab w:leader="none" w:pos="860" w:val="left"/>
        </w:tabs>
        <w:numPr>
          <w:ilvl w:val="0"/>
          <w:numId w:val="4"/>
        </w:numPr>
        <w:rPr>
          <w:rFonts w:ascii="Calibri" w:cs="Calibri" w:eastAsia="Calibri" w:hAnsi="Calibri"/>
          <w:sz w:val="22"/>
          <w:szCs w:val="22"/>
          <w:color w:val="auto"/>
        </w:rPr>
      </w:pPr>
      <w:r>
        <w:rPr>
          <w:rFonts w:ascii="Calibri" w:cs="Calibri" w:eastAsia="Calibri" w:hAnsi="Calibri"/>
          <w:sz w:val="22"/>
          <w:szCs w:val="22"/>
          <w:u w:val="single" w:color="auto"/>
          <w:color w:val="auto"/>
        </w:rPr>
        <w:t>Totale risorse variabili sottoposto a certificazione</w:t>
      </w:r>
      <w:r>
        <w:rPr>
          <w:rFonts w:ascii="Calibri" w:cs="Calibri" w:eastAsia="Calibri" w:hAnsi="Calibri"/>
          <w:sz w:val="22"/>
          <w:szCs w:val="22"/>
          <w:color w:val="auto"/>
        </w:rPr>
        <w:t>, determinato dal totale della sezione 1.2 eventualmente ridotta per le relative decurtazioni come quantificate nella sezione 1.3</w:t>
      </w:r>
    </w:p>
    <w:p>
      <w:pPr>
        <w:spacing w:after="0" w:line="101" w:lineRule="exact"/>
        <w:rPr>
          <w:rFonts w:ascii="Calibri" w:cs="Calibri" w:eastAsia="Calibri" w:hAnsi="Calibri"/>
          <w:sz w:val="22"/>
          <w:szCs w:val="22"/>
          <w:color w:val="auto"/>
        </w:rPr>
      </w:pPr>
    </w:p>
    <w:p>
      <w:pPr>
        <w:jc w:val="both"/>
        <w:ind w:left="1020" w:hanging="165"/>
        <w:spacing w:after="0"/>
        <w:tabs>
          <w:tab w:leader="none" w:pos="1020" w:val="left"/>
        </w:tabs>
        <w:numPr>
          <w:ilvl w:val="1"/>
          <w:numId w:val="4"/>
        </w:numPr>
        <w:rPr>
          <w:rFonts w:ascii="Calibri" w:cs="Calibri" w:eastAsia="Calibri" w:hAnsi="Calibri"/>
          <w:sz w:val="22"/>
          <w:szCs w:val="22"/>
          <w:color w:val="auto"/>
        </w:rPr>
      </w:pPr>
      <w:r>
        <w:rPr>
          <w:rFonts w:ascii="Verdana" w:cs="Verdana" w:eastAsia="Verdana" w:hAnsi="Verdana"/>
          <w:sz w:val="20"/>
          <w:szCs w:val="20"/>
          <w:color w:val="auto"/>
        </w:rPr>
        <w:t>7.898,26</w:t>
      </w:r>
    </w:p>
    <w:p>
      <w:pPr>
        <w:spacing w:after="0" w:line="116" w:lineRule="exact"/>
        <w:rPr>
          <w:rFonts w:ascii="Calibri" w:cs="Calibri" w:eastAsia="Calibri" w:hAnsi="Calibri"/>
          <w:sz w:val="22"/>
          <w:szCs w:val="22"/>
          <w:color w:val="auto"/>
        </w:rPr>
      </w:pPr>
    </w:p>
    <w:p>
      <w:pPr>
        <w:jc w:val="both"/>
        <w:ind w:left="860" w:hanging="290"/>
        <w:spacing w:after="0"/>
        <w:tabs>
          <w:tab w:leader="none" w:pos="860" w:val="left"/>
        </w:tabs>
        <w:numPr>
          <w:ilvl w:val="0"/>
          <w:numId w:val="4"/>
        </w:numPr>
        <w:rPr>
          <w:rFonts w:ascii="Calibri" w:cs="Calibri" w:eastAsia="Calibri" w:hAnsi="Calibri"/>
          <w:sz w:val="22"/>
          <w:szCs w:val="22"/>
          <w:color w:val="auto"/>
        </w:rPr>
      </w:pPr>
      <w:r>
        <w:rPr>
          <w:rFonts w:ascii="Calibri" w:cs="Calibri" w:eastAsia="Calibri" w:hAnsi="Calibri"/>
          <w:sz w:val="22"/>
          <w:szCs w:val="22"/>
          <w:u w:val="single" w:color="auto"/>
          <w:color w:val="auto"/>
        </w:rPr>
        <w:t>Totale Fondo sottoposto a certificazione</w:t>
      </w:r>
      <w:r>
        <w:rPr>
          <w:rFonts w:ascii="Calibri" w:cs="Calibri" w:eastAsia="Calibri" w:hAnsi="Calibri"/>
          <w:sz w:val="22"/>
          <w:szCs w:val="22"/>
          <w:color w:val="auto"/>
        </w:rPr>
        <w:t>, determinato dalla somma delle due voci precedenti</w:t>
      </w:r>
    </w:p>
    <w:p>
      <w:pPr>
        <w:spacing w:after="0" w:line="3" w:lineRule="exact"/>
        <w:rPr>
          <w:rFonts w:ascii="Calibri" w:cs="Calibri" w:eastAsia="Calibri" w:hAnsi="Calibri"/>
          <w:sz w:val="22"/>
          <w:szCs w:val="22"/>
          <w:color w:val="auto"/>
        </w:rPr>
      </w:pPr>
    </w:p>
    <w:p>
      <w:pPr>
        <w:jc w:val="both"/>
        <w:ind w:left="1060" w:hanging="205"/>
        <w:spacing w:after="0" w:line="235" w:lineRule="auto"/>
        <w:tabs>
          <w:tab w:leader="none" w:pos="1060" w:val="left"/>
        </w:tabs>
        <w:numPr>
          <w:ilvl w:val="1"/>
          <w:numId w:val="4"/>
        </w:numPr>
        <w:rPr>
          <w:rFonts w:ascii="Calibri" w:cs="Calibri" w:eastAsia="Calibri" w:hAnsi="Calibri"/>
          <w:sz w:val="22"/>
          <w:szCs w:val="22"/>
          <w:color w:val="auto"/>
        </w:rPr>
      </w:pPr>
      <w:r>
        <w:rPr>
          <w:rFonts w:ascii="Verdana" w:cs="Verdana" w:eastAsia="Verdana" w:hAnsi="Verdana"/>
          <w:sz w:val="20"/>
          <w:szCs w:val="20"/>
          <w:color w:val="auto"/>
        </w:rPr>
        <w:t xml:space="preserve">2.834.021,36 </w:t>
      </w:r>
      <w:r>
        <w:rPr>
          <w:rFonts w:ascii="Calibri" w:cs="Calibri" w:eastAsia="Calibri" w:hAnsi="Calibri"/>
          <w:sz w:val="22"/>
          <w:szCs w:val="22"/>
          <w:color w:val="auto"/>
        </w:rPr>
        <w:t>.</w:t>
      </w:r>
    </w:p>
    <w:p>
      <w:pPr>
        <w:spacing w:after="0" w:line="222" w:lineRule="exact"/>
        <w:rPr>
          <w:sz w:val="20"/>
          <w:szCs w:val="20"/>
          <w:color w:val="auto"/>
        </w:rPr>
      </w:pPr>
    </w:p>
    <w:p>
      <w:pPr>
        <w:spacing w:after="0"/>
        <w:tabs>
          <w:tab w:leader="none" w:pos="840" w:val="left"/>
        </w:tabs>
        <w:rPr>
          <w:sz w:val="20"/>
          <w:szCs w:val="20"/>
          <w:color w:val="auto"/>
        </w:rPr>
      </w:pPr>
      <w:r>
        <w:rPr>
          <w:rFonts w:ascii="Calibri" w:cs="Calibri" w:eastAsia="Calibri" w:hAnsi="Calibri"/>
          <w:sz w:val="24"/>
          <w:szCs w:val="24"/>
          <w:i w:val="1"/>
          <w:iCs w:val="1"/>
          <w:color w:val="auto"/>
        </w:rPr>
        <w:t>I.1.5 -</w:t>
      </w:r>
      <w:r>
        <w:rPr>
          <w:sz w:val="20"/>
          <w:szCs w:val="20"/>
          <w:color w:val="auto"/>
        </w:rPr>
        <w:tab/>
      </w:r>
      <w:r>
        <w:rPr>
          <w:rFonts w:ascii="Calibri" w:cs="Calibri" w:eastAsia="Calibri" w:hAnsi="Calibri"/>
          <w:sz w:val="23"/>
          <w:szCs w:val="23"/>
          <w:i w:val="1"/>
          <w:iCs w:val="1"/>
          <w:color w:val="auto"/>
        </w:rPr>
        <w:t>Sezione V - Risorse temporaneamente allocate all’esterno del Fondo</w:t>
      </w:r>
    </w:p>
    <w:p>
      <w:pPr>
        <w:spacing w:after="0" w:line="252" w:lineRule="exact"/>
        <w:rPr>
          <w:sz w:val="20"/>
          <w:szCs w:val="20"/>
          <w:color w:val="auto"/>
        </w:rPr>
      </w:pPr>
    </w:p>
    <w:p>
      <w:pPr>
        <w:ind w:left="56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359" w:lineRule="exact"/>
        <w:rPr>
          <w:sz w:val="20"/>
          <w:szCs w:val="20"/>
          <w:color w:val="auto"/>
        </w:rPr>
      </w:pPr>
    </w:p>
    <w:p>
      <w:pPr>
        <w:ind w:left="360" w:hanging="357"/>
        <w:spacing w:after="0" w:line="248" w:lineRule="auto"/>
        <w:rPr>
          <w:sz w:val="20"/>
          <w:szCs w:val="20"/>
          <w:color w:val="auto"/>
        </w:rPr>
      </w:pPr>
      <w:r>
        <w:rPr>
          <w:rFonts w:ascii="Calibri" w:cs="Calibri" w:eastAsia="Calibri" w:hAnsi="Calibri"/>
          <w:sz w:val="24"/>
          <w:szCs w:val="24"/>
          <w:b w:val="1"/>
          <w:bCs w:val="1"/>
          <w:i w:val="1"/>
          <w:iCs w:val="1"/>
          <w:color w:val="auto"/>
        </w:rPr>
        <w:t>I.2 - Modulo II - Definizione delle poste di destinazione del Fondo per la contrattazione integrativa</w:t>
      </w:r>
    </w:p>
    <w:p>
      <w:pPr>
        <w:spacing w:after="0" w:line="36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-15875</wp:posOffset>
                </wp:positionH>
                <wp:positionV relativeFrom="paragraph">
                  <wp:posOffset>6350</wp:posOffset>
                </wp:positionV>
                <wp:extent cx="593979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39790" cy="0"/>
                        </a:xfrm>
                        <a:prstGeom prst="line">
                          <a:avLst/>
                        </a:prstGeom>
                        <a:solidFill>
                          <a:srgbClr val="FFFFFF"/>
                        </a:solidFill>
                        <a:ln w="6108">
                          <a:solidFill>
                            <a:srgbClr val="C0C0C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499pt,0.5pt" to="466.45pt,0.5pt" o:allowincell="f" strokecolor="#C0C0C0" strokeweight="0.4809pt"/>
            </w:pict>
          </mc:Fallback>
        </mc:AlternateContent>
      </w:r>
    </w:p>
    <w:p>
      <w:pPr>
        <w:ind w:left="360" w:hanging="357"/>
        <w:spacing w:after="0" w:line="253" w:lineRule="auto"/>
        <w:rPr>
          <w:sz w:val="20"/>
          <w:szCs w:val="20"/>
          <w:color w:val="auto"/>
        </w:rPr>
      </w:pPr>
      <w:r>
        <w:rPr>
          <w:rFonts w:ascii="Calibri" w:cs="Calibri" w:eastAsia="Calibri" w:hAnsi="Calibri"/>
          <w:sz w:val="24"/>
          <w:szCs w:val="24"/>
          <w:i w:val="1"/>
          <w:iCs w:val="1"/>
          <w:color w:val="auto"/>
        </w:rPr>
        <w:t>I.2.1 - Sezione I - Destinazioni non disponibili alla contrattazione integrativa o comunque non regolate specificamente dal provvedimento sottoposto a certificazione</w:t>
      </w:r>
    </w:p>
    <w:p>
      <w:pPr>
        <w:spacing w:after="0" w:line="217" w:lineRule="exact"/>
        <w:rPr>
          <w:sz w:val="20"/>
          <w:szCs w:val="20"/>
          <w:color w:val="auto"/>
        </w:rPr>
      </w:pPr>
    </w:p>
    <w:p>
      <w:pPr>
        <w:ind w:left="720"/>
        <w:spacing w:after="0"/>
        <w:rPr>
          <w:sz w:val="20"/>
          <w:szCs w:val="20"/>
          <w:color w:val="auto"/>
        </w:rPr>
      </w:pPr>
      <w:r>
        <w:rPr>
          <w:rFonts w:ascii="Calibri" w:cs="Calibri" w:eastAsia="Calibri" w:hAnsi="Calibri"/>
          <w:sz w:val="22"/>
          <w:szCs w:val="22"/>
          <w:color w:val="auto"/>
        </w:rPr>
        <w:t>€  627.231,64  per retribuzione di posizione parte fissa;</w:t>
      </w:r>
    </w:p>
    <w:p>
      <w:pPr>
        <w:spacing w:after="0" w:line="231" w:lineRule="exact"/>
        <w:rPr>
          <w:sz w:val="20"/>
          <w:szCs w:val="20"/>
          <w:color w:val="auto"/>
        </w:rPr>
      </w:pPr>
    </w:p>
    <w:p>
      <w:pPr>
        <w:spacing w:after="0"/>
        <w:tabs>
          <w:tab w:leader="none" w:pos="840" w:val="left"/>
        </w:tabs>
        <w:rPr>
          <w:sz w:val="20"/>
          <w:szCs w:val="20"/>
          <w:color w:val="auto"/>
        </w:rPr>
      </w:pPr>
      <w:r>
        <w:rPr>
          <w:rFonts w:ascii="Calibri" w:cs="Calibri" w:eastAsia="Calibri" w:hAnsi="Calibri"/>
          <w:sz w:val="24"/>
          <w:szCs w:val="24"/>
          <w:i w:val="1"/>
          <w:iCs w:val="1"/>
          <w:color w:val="auto"/>
        </w:rPr>
        <w:t>I.2.2 -</w:t>
      </w:r>
      <w:r>
        <w:rPr>
          <w:sz w:val="20"/>
          <w:szCs w:val="20"/>
          <w:color w:val="auto"/>
        </w:rPr>
        <w:tab/>
      </w:r>
      <w:r>
        <w:rPr>
          <w:rFonts w:ascii="Calibri" w:cs="Calibri" w:eastAsia="Calibri" w:hAnsi="Calibri"/>
          <w:sz w:val="23"/>
          <w:szCs w:val="23"/>
          <w:i w:val="1"/>
          <w:iCs w:val="1"/>
          <w:color w:val="auto"/>
        </w:rPr>
        <w:t>Sezione II - Destinazioni specificamente regolate dal provvedimento</w:t>
      </w:r>
    </w:p>
    <w:p>
      <w:pPr>
        <w:spacing w:after="0" w:line="249" w:lineRule="exact"/>
        <w:rPr>
          <w:sz w:val="20"/>
          <w:szCs w:val="20"/>
          <w:color w:val="auto"/>
        </w:rPr>
      </w:pPr>
    </w:p>
    <w:p>
      <w:pPr>
        <w:ind w:left="560"/>
        <w:spacing w:after="0"/>
        <w:rPr>
          <w:sz w:val="20"/>
          <w:szCs w:val="20"/>
          <w:color w:val="auto"/>
        </w:rPr>
      </w:pPr>
      <w:r>
        <w:rPr>
          <w:rFonts w:ascii="Calibri" w:cs="Calibri" w:eastAsia="Calibri" w:hAnsi="Calibri"/>
          <w:sz w:val="22"/>
          <w:szCs w:val="22"/>
          <w:color w:val="auto"/>
        </w:rPr>
        <w:t xml:space="preserve">La somma di € </w:t>
      </w:r>
      <w:r>
        <w:rPr>
          <w:rFonts w:ascii="Verdana" w:cs="Verdana" w:eastAsia="Verdana" w:hAnsi="Verdana"/>
          <w:sz w:val="19"/>
          <w:szCs w:val="19"/>
          <w:color w:val="auto"/>
        </w:rPr>
        <w:t>2.834.021,36</w:t>
      </w:r>
      <w:r>
        <w:rPr>
          <w:rFonts w:ascii="Calibri" w:cs="Calibri" w:eastAsia="Calibri" w:hAnsi="Calibri"/>
          <w:sz w:val="22"/>
          <w:szCs w:val="22"/>
          <w:color w:val="auto"/>
        </w:rPr>
        <w:t xml:space="preserve"> viene ripartita come segue:</w:t>
      </w:r>
    </w:p>
    <w:p>
      <w:pPr>
        <w:spacing w:after="0" w:line="120" w:lineRule="exact"/>
        <w:rPr>
          <w:sz w:val="20"/>
          <w:szCs w:val="20"/>
          <w:color w:val="auto"/>
        </w:rPr>
      </w:pPr>
    </w:p>
    <w:p>
      <w:pPr>
        <w:jc w:val="both"/>
        <w:ind w:left="560" w:hanging="274"/>
        <w:spacing w:after="0"/>
        <w:tabs>
          <w:tab w:leader="none" w:pos="560" w:val="left"/>
        </w:tabs>
        <w:numPr>
          <w:ilvl w:val="0"/>
          <w:numId w:val="5"/>
        </w:numPr>
        <w:rPr>
          <w:rFonts w:ascii="Calibri" w:cs="Calibri" w:eastAsia="Calibri" w:hAnsi="Calibri"/>
          <w:sz w:val="22"/>
          <w:szCs w:val="22"/>
          <w:color w:val="auto"/>
        </w:rPr>
      </w:pPr>
      <w:r>
        <w:rPr>
          <w:rFonts w:ascii="Calibri" w:cs="Calibri" w:eastAsia="Calibri" w:hAnsi="Calibri"/>
          <w:sz w:val="22"/>
          <w:szCs w:val="22"/>
          <w:color w:val="auto"/>
        </w:rPr>
        <w:t>€ 2.408.918,16 pari all’85% sono destinati alla retribuzione di posizione (Art. 26 CCNL) e ripartiti come segue:</w:t>
      </w:r>
    </w:p>
    <w:p>
      <w:pPr>
        <w:jc w:val="both"/>
        <w:ind w:left="560" w:firstLine="9"/>
        <w:spacing w:after="0" w:line="239" w:lineRule="auto"/>
        <w:tabs>
          <w:tab w:leader="none" w:pos="954" w:val="left"/>
        </w:tabs>
        <w:numPr>
          <w:ilvl w:val="1"/>
          <w:numId w:val="5"/>
        </w:numPr>
        <w:rPr>
          <w:rFonts w:ascii="Calibri" w:cs="Calibri" w:eastAsia="Calibri" w:hAnsi="Calibri"/>
          <w:sz w:val="22"/>
          <w:szCs w:val="22"/>
          <w:color w:val="auto"/>
        </w:rPr>
      </w:pPr>
      <w:r>
        <w:rPr>
          <w:rFonts w:ascii="Calibri" w:cs="Calibri" w:eastAsia="Calibri" w:hAnsi="Calibri"/>
          <w:sz w:val="22"/>
          <w:szCs w:val="22"/>
          <w:color w:val="auto"/>
        </w:rPr>
        <w:t>627.231,64 sono destinati alla retribuzione di posizione parte fissa (quota fissa annuale prevista dal CCNL € 3. 556,68 x n. 182 dirigenti scolastici in servizio, calcolata in relazione al servizio prestato);</w:t>
      </w:r>
    </w:p>
    <w:p>
      <w:pPr>
        <w:spacing w:after="0" w:line="1" w:lineRule="exact"/>
        <w:rPr>
          <w:rFonts w:ascii="Calibri" w:cs="Calibri" w:eastAsia="Calibri" w:hAnsi="Calibri"/>
          <w:sz w:val="22"/>
          <w:szCs w:val="22"/>
          <w:color w:val="auto"/>
        </w:rPr>
      </w:pPr>
    </w:p>
    <w:p>
      <w:pPr>
        <w:jc w:val="both"/>
        <w:ind w:left="800" w:hanging="231"/>
        <w:spacing w:after="0"/>
        <w:tabs>
          <w:tab w:leader="none" w:pos="800" w:val="left"/>
        </w:tabs>
        <w:numPr>
          <w:ilvl w:val="1"/>
          <w:numId w:val="5"/>
        </w:numPr>
        <w:rPr>
          <w:rFonts w:ascii="Calibri" w:cs="Calibri" w:eastAsia="Calibri" w:hAnsi="Calibri"/>
          <w:sz w:val="22"/>
          <w:szCs w:val="22"/>
          <w:color w:val="auto"/>
        </w:rPr>
      </w:pPr>
      <w:r>
        <w:rPr>
          <w:rFonts w:ascii="Calibri" w:cs="Calibri" w:eastAsia="Calibri" w:hAnsi="Calibri"/>
          <w:sz w:val="22"/>
          <w:szCs w:val="22"/>
          <w:color w:val="auto"/>
        </w:rPr>
        <w:t>1.722.137,38 sono destinati alla retribuzione di posizione parte variabile calcolata in relazione</w:t>
      </w:r>
    </w:p>
    <w:p>
      <w:pPr>
        <w:ind w:left="560"/>
        <w:spacing w:after="0"/>
        <w:tabs>
          <w:tab w:leader="none" w:pos="1040" w:val="left"/>
          <w:tab w:leader="none" w:pos="2300" w:val="left"/>
          <w:tab w:leader="none" w:pos="3800" w:val="left"/>
          <w:tab w:leader="none" w:pos="4840" w:val="left"/>
          <w:tab w:leader="none" w:pos="5260" w:val="left"/>
          <w:tab w:leader="none" w:pos="5600" w:val="left"/>
          <w:tab w:leader="none" w:pos="6620" w:val="left"/>
          <w:tab w:leader="none" w:pos="6960" w:val="left"/>
          <w:tab w:leader="none" w:pos="7820" w:val="left"/>
          <w:tab w:leader="none" w:pos="8820" w:val="left"/>
        </w:tabs>
        <w:rPr>
          <w:sz w:val="20"/>
          <w:szCs w:val="20"/>
          <w:color w:val="auto"/>
        </w:rPr>
      </w:pPr>
      <w:r>
        <w:rPr>
          <w:rFonts w:ascii="Calibri" w:cs="Calibri" w:eastAsia="Calibri" w:hAnsi="Calibri"/>
          <w:sz w:val="22"/>
          <w:szCs w:val="22"/>
          <w:color w:val="auto"/>
        </w:rPr>
        <w:t>alla</w:t>
      </w:r>
      <w:r>
        <w:rPr>
          <w:sz w:val="20"/>
          <w:szCs w:val="20"/>
          <w:color w:val="auto"/>
        </w:rPr>
        <w:tab/>
      </w:r>
      <w:r>
        <w:rPr>
          <w:rFonts w:ascii="Calibri" w:cs="Calibri" w:eastAsia="Calibri" w:hAnsi="Calibri"/>
          <w:sz w:val="22"/>
          <w:szCs w:val="22"/>
          <w:color w:val="auto"/>
        </w:rPr>
        <w:t>complessità</w:t>
      </w:r>
      <w:r>
        <w:rPr>
          <w:sz w:val="20"/>
          <w:szCs w:val="20"/>
          <w:color w:val="auto"/>
        </w:rPr>
        <w:tab/>
      </w:r>
      <w:r>
        <w:rPr>
          <w:rFonts w:ascii="Calibri" w:cs="Calibri" w:eastAsia="Calibri" w:hAnsi="Calibri"/>
          <w:sz w:val="22"/>
          <w:szCs w:val="22"/>
          <w:color w:val="auto"/>
        </w:rPr>
        <w:t>dell’istituzione</w:t>
      </w:r>
      <w:r>
        <w:rPr>
          <w:sz w:val="20"/>
          <w:szCs w:val="20"/>
          <w:color w:val="auto"/>
        </w:rPr>
        <w:tab/>
      </w:r>
      <w:r>
        <w:rPr>
          <w:rFonts w:ascii="Calibri" w:cs="Calibri" w:eastAsia="Calibri" w:hAnsi="Calibri"/>
          <w:sz w:val="22"/>
          <w:szCs w:val="22"/>
          <w:color w:val="auto"/>
        </w:rPr>
        <w:t>scolastica</w:t>
      </w:r>
      <w:r>
        <w:rPr>
          <w:sz w:val="20"/>
          <w:szCs w:val="20"/>
          <w:color w:val="auto"/>
        </w:rPr>
        <w:tab/>
      </w:r>
      <w:r>
        <w:rPr>
          <w:rFonts w:ascii="Calibri" w:cs="Calibri" w:eastAsia="Calibri" w:hAnsi="Calibri"/>
          <w:sz w:val="22"/>
          <w:szCs w:val="22"/>
          <w:color w:val="auto"/>
        </w:rPr>
        <w:t>ed</w:t>
      </w:r>
      <w:r>
        <w:rPr>
          <w:sz w:val="20"/>
          <w:szCs w:val="20"/>
          <w:color w:val="auto"/>
        </w:rPr>
        <w:tab/>
      </w:r>
      <w:r>
        <w:rPr>
          <w:rFonts w:ascii="Calibri" w:cs="Calibri" w:eastAsia="Calibri" w:hAnsi="Calibri"/>
          <w:sz w:val="22"/>
          <w:szCs w:val="22"/>
          <w:color w:val="auto"/>
        </w:rPr>
        <w:t>in</w:t>
      </w:r>
      <w:r>
        <w:rPr>
          <w:sz w:val="20"/>
          <w:szCs w:val="20"/>
          <w:color w:val="auto"/>
        </w:rPr>
        <w:tab/>
      </w:r>
      <w:r>
        <w:rPr>
          <w:rFonts w:ascii="Calibri" w:cs="Calibri" w:eastAsia="Calibri" w:hAnsi="Calibri"/>
          <w:sz w:val="22"/>
          <w:szCs w:val="22"/>
          <w:color w:val="auto"/>
        </w:rPr>
        <w:t>relazione</w:t>
      </w:r>
      <w:r>
        <w:rPr>
          <w:sz w:val="20"/>
          <w:szCs w:val="20"/>
          <w:color w:val="auto"/>
        </w:rPr>
        <w:tab/>
      </w:r>
      <w:r>
        <w:rPr>
          <w:rFonts w:ascii="Calibri" w:cs="Calibri" w:eastAsia="Calibri" w:hAnsi="Calibri"/>
          <w:sz w:val="22"/>
          <w:szCs w:val="22"/>
          <w:color w:val="auto"/>
        </w:rPr>
        <w:t>al</w:t>
      </w:r>
      <w:r>
        <w:rPr>
          <w:sz w:val="20"/>
          <w:szCs w:val="20"/>
          <w:color w:val="auto"/>
        </w:rPr>
        <w:tab/>
      </w:r>
      <w:r>
        <w:rPr>
          <w:rFonts w:ascii="Calibri" w:cs="Calibri" w:eastAsia="Calibri" w:hAnsi="Calibri"/>
          <w:sz w:val="22"/>
          <w:szCs w:val="22"/>
          <w:color w:val="auto"/>
        </w:rPr>
        <w:t>servizio</w:t>
      </w:r>
      <w:r>
        <w:rPr>
          <w:sz w:val="20"/>
          <w:szCs w:val="20"/>
          <w:color w:val="auto"/>
        </w:rPr>
        <w:tab/>
      </w:r>
      <w:r>
        <w:rPr>
          <w:rFonts w:ascii="Calibri" w:cs="Calibri" w:eastAsia="Calibri" w:hAnsi="Calibri"/>
          <w:sz w:val="22"/>
          <w:szCs w:val="22"/>
          <w:color w:val="auto"/>
        </w:rPr>
        <w:t>prestato.</w:t>
      </w:r>
      <w:r>
        <w:rPr>
          <w:sz w:val="20"/>
          <w:szCs w:val="20"/>
          <w:color w:val="auto"/>
        </w:rPr>
        <w:tab/>
      </w:r>
      <w:r>
        <w:rPr>
          <w:rFonts w:ascii="Calibri" w:cs="Calibri" w:eastAsia="Calibri" w:hAnsi="Calibri"/>
          <w:sz w:val="22"/>
          <w:szCs w:val="22"/>
          <w:color w:val="auto"/>
        </w:rPr>
        <w:t>Nella</w:t>
      </w:r>
    </w:p>
    <w:p>
      <w:pPr>
        <w:spacing w:after="0" w:line="124"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-15875</wp:posOffset>
                </wp:positionH>
                <wp:positionV relativeFrom="paragraph">
                  <wp:posOffset>73025</wp:posOffset>
                </wp:positionV>
                <wp:extent cx="593979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39790" cy="0"/>
                        </a:xfrm>
                        <a:prstGeom prst="line">
                          <a:avLst/>
                        </a:prstGeom>
                        <a:solidFill>
                          <a:srgbClr val="FFFFFF"/>
                        </a:solidFill>
                        <a:ln w="3035">
                          <a:solidFill>
                            <a:srgbClr val="4F81BD"/>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499pt,5.75pt" to="466.45pt,5.75pt" o:allowincell="f" strokecolor="#4F81BD" strokeweight="0.239pt"/>
            </w:pict>
          </mc:Fallback>
        </mc:AlternateContent>
      </w:r>
    </w:p>
    <w:p>
      <w:pPr>
        <w:ind w:left="9200"/>
        <w:spacing w:after="0"/>
        <w:rPr>
          <w:sz w:val="20"/>
          <w:szCs w:val="20"/>
          <w:color w:val="auto"/>
        </w:rPr>
      </w:pPr>
      <w:r>
        <w:rPr>
          <w:rFonts w:ascii="Calibri" w:cs="Calibri" w:eastAsia="Calibri" w:hAnsi="Calibri"/>
          <w:sz w:val="18"/>
          <w:szCs w:val="18"/>
          <w:i w:val="1"/>
          <w:iCs w:val="1"/>
          <w:color w:val="4F81BD"/>
        </w:rPr>
        <w:t>2</w:t>
      </w:r>
    </w:p>
    <w:p>
      <w:pPr>
        <w:sectPr>
          <w:pgSz w:w="11900" w:h="16838" w:orient="portrait"/>
          <w:cols w:equalWidth="0" w:num="1">
            <w:col w:w="9300"/>
          </w:cols>
          <w:pgMar w:left="1300" w:top="1440" w:right="1300" w:bottom="567" w:gutter="0" w:footer="0" w:header="0"/>
        </w:sectPr>
      </w:pPr>
    </w:p>
    <w:bookmarkStart w:id="2" w:name="page3"/>
    <w:bookmarkEnd w:id="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450215</wp:posOffset>
            </wp:positionV>
            <wp:extent cx="581025" cy="67627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ind w:left="88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9" w:lineRule="exact"/>
        <w:rPr>
          <w:sz w:val="20"/>
          <w:szCs w:val="20"/>
          <w:color w:val="auto"/>
        </w:rPr>
      </w:pPr>
    </w:p>
    <w:p>
      <w:pPr>
        <w:ind w:left="216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0"/>
          <w:szCs w:val="20"/>
          <w:color w:val="auto"/>
        </w:rPr>
      </w:pPr>
    </w:p>
    <w:p>
      <w:pPr>
        <w:ind w:left="288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363" w:lineRule="exact"/>
        <w:rPr>
          <w:sz w:val="20"/>
          <w:szCs w:val="20"/>
          <w:color w:val="auto"/>
        </w:rPr>
      </w:pPr>
    </w:p>
    <w:p>
      <w:pPr>
        <w:ind w:left="560"/>
        <w:spacing w:after="0"/>
        <w:rPr>
          <w:sz w:val="20"/>
          <w:szCs w:val="20"/>
          <w:color w:val="auto"/>
        </w:rPr>
      </w:pPr>
      <w:r>
        <w:rPr>
          <w:rFonts w:ascii="Calibri" w:cs="Calibri" w:eastAsia="Calibri" w:hAnsi="Calibri"/>
          <w:sz w:val="22"/>
          <w:szCs w:val="22"/>
          <w:color w:val="auto"/>
        </w:rPr>
        <w:t>determinazione dell’importo si è tenuto conto dell’art. 9 del D.L. 78/2010 e pertanto sono stati confermati i valori delle retribuzioni di posizione parte variabile determinati nel 2010;</w:t>
      </w:r>
    </w:p>
    <w:p>
      <w:pPr>
        <w:jc w:val="both"/>
        <w:ind w:left="560" w:firstLine="10"/>
        <w:spacing w:after="0" w:line="249" w:lineRule="auto"/>
        <w:tabs>
          <w:tab w:leader="none" w:pos="845" w:val="left"/>
        </w:tabs>
        <w:numPr>
          <w:ilvl w:val="1"/>
          <w:numId w:val="6"/>
        </w:numPr>
        <w:rPr>
          <w:rFonts w:ascii="Calibri" w:cs="Calibri" w:eastAsia="Calibri" w:hAnsi="Calibri"/>
          <w:sz w:val="22"/>
          <w:szCs w:val="22"/>
          <w:color w:val="auto"/>
        </w:rPr>
      </w:pPr>
      <w:r>
        <w:rPr>
          <w:rFonts w:ascii="Calibri" w:cs="Calibri" w:eastAsia="Calibri" w:hAnsi="Calibri"/>
          <w:sz w:val="22"/>
          <w:szCs w:val="22"/>
          <w:color w:val="auto"/>
        </w:rPr>
        <w:t>59.549,13 disponibilità residua destinata all’integrazione del budget per la retribuzione di risultato e delle reggenze.</w:t>
      </w:r>
    </w:p>
    <w:p>
      <w:pPr>
        <w:spacing w:after="0" w:line="174" w:lineRule="exact"/>
        <w:rPr>
          <w:rFonts w:ascii="Calibri" w:cs="Calibri" w:eastAsia="Calibri" w:hAnsi="Calibri"/>
          <w:sz w:val="22"/>
          <w:szCs w:val="22"/>
          <w:color w:val="auto"/>
        </w:rPr>
      </w:pPr>
    </w:p>
    <w:p>
      <w:pPr>
        <w:jc w:val="both"/>
        <w:ind w:left="560" w:hanging="274"/>
        <w:spacing w:after="0"/>
        <w:tabs>
          <w:tab w:leader="none" w:pos="560" w:val="left"/>
        </w:tabs>
        <w:numPr>
          <w:ilvl w:val="0"/>
          <w:numId w:val="6"/>
        </w:numPr>
        <w:rPr>
          <w:rFonts w:ascii="Calibri" w:cs="Calibri" w:eastAsia="Calibri" w:hAnsi="Calibri"/>
          <w:sz w:val="22"/>
          <w:szCs w:val="22"/>
          <w:color w:val="auto"/>
        </w:rPr>
      </w:pPr>
      <w:r>
        <w:rPr>
          <w:rFonts w:ascii="Calibri" w:cs="Calibri" w:eastAsia="Calibri" w:hAnsi="Calibri"/>
          <w:sz w:val="22"/>
          <w:szCs w:val="22"/>
          <w:color w:val="auto"/>
        </w:rPr>
        <w:t>€ 425.103,20 pari al 15% delle risorse del fondo (Art. 27 CCNL), che unitamente alla disponibilità residua di € 59.549,13, per un importo totale di € 484.652,33 sono destinati alle retribuzioni di risultato e delle reggenze, ripartiti come segue:</w:t>
      </w:r>
    </w:p>
    <w:p>
      <w:pPr>
        <w:jc w:val="both"/>
        <w:ind w:left="560" w:firstLine="9"/>
        <w:spacing w:after="0"/>
        <w:tabs>
          <w:tab w:leader="none" w:pos="812" w:val="left"/>
        </w:tabs>
        <w:numPr>
          <w:ilvl w:val="1"/>
          <w:numId w:val="6"/>
        </w:numPr>
        <w:rPr>
          <w:rFonts w:ascii="Calibri" w:cs="Calibri" w:eastAsia="Calibri" w:hAnsi="Calibri"/>
          <w:sz w:val="22"/>
          <w:szCs w:val="22"/>
          <w:color w:val="auto"/>
        </w:rPr>
      </w:pPr>
      <w:r>
        <w:rPr>
          <w:rFonts w:ascii="Calibri" w:cs="Calibri" w:eastAsia="Calibri" w:hAnsi="Calibri"/>
          <w:sz w:val="22"/>
          <w:szCs w:val="22"/>
          <w:color w:val="auto"/>
        </w:rPr>
        <w:t>183.858,28 sono destinati alla retribuzione di risultato per le reggenze, calcolata in relazione alla fascia di complessità dell’istituzione scolastica in reggenza ed alla durata dell’incarico;</w:t>
      </w:r>
    </w:p>
    <w:p>
      <w:pPr>
        <w:jc w:val="both"/>
        <w:ind w:left="560" w:firstLine="9"/>
        <w:spacing w:after="0" w:line="249" w:lineRule="auto"/>
        <w:tabs>
          <w:tab w:leader="none" w:pos="773" w:val="left"/>
        </w:tabs>
        <w:numPr>
          <w:ilvl w:val="1"/>
          <w:numId w:val="6"/>
        </w:numPr>
        <w:rPr>
          <w:rFonts w:ascii="Calibri" w:cs="Calibri" w:eastAsia="Calibri" w:hAnsi="Calibri"/>
          <w:sz w:val="22"/>
          <w:szCs w:val="22"/>
          <w:color w:val="auto"/>
        </w:rPr>
      </w:pPr>
      <w:r>
        <w:rPr>
          <w:rFonts w:ascii="Calibri" w:cs="Calibri" w:eastAsia="Calibri" w:hAnsi="Calibri"/>
          <w:sz w:val="22"/>
          <w:szCs w:val="22"/>
          <w:color w:val="auto"/>
        </w:rPr>
        <w:t>300.794,05 sono destinati alla retribuzione di risultato calcolata in relazione alla fascia di complessità dell’istituzione scolastica di titolarità ed al servizio prestato.</w:t>
      </w:r>
    </w:p>
    <w:p>
      <w:pPr>
        <w:spacing w:after="0" w:line="200" w:lineRule="exact"/>
        <w:rPr>
          <w:sz w:val="20"/>
          <w:szCs w:val="20"/>
          <w:color w:val="auto"/>
        </w:rPr>
      </w:pPr>
    </w:p>
    <w:p>
      <w:pPr>
        <w:spacing w:after="0" w:line="281" w:lineRule="exact"/>
        <w:rPr>
          <w:sz w:val="20"/>
          <w:szCs w:val="20"/>
          <w:color w:val="auto"/>
        </w:rPr>
      </w:pPr>
    </w:p>
    <w:p>
      <w:pPr>
        <w:spacing w:after="0"/>
        <w:tabs>
          <w:tab w:leader="none" w:pos="840" w:val="left"/>
        </w:tabs>
        <w:rPr>
          <w:sz w:val="20"/>
          <w:szCs w:val="20"/>
          <w:color w:val="auto"/>
        </w:rPr>
      </w:pPr>
      <w:r>
        <w:rPr>
          <w:rFonts w:ascii="Calibri" w:cs="Calibri" w:eastAsia="Calibri" w:hAnsi="Calibri"/>
          <w:sz w:val="24"/>
          <w:szCs w:val="24"/>
          <w:i w:val="1"/>
          <w:iCs w:val="1"/>
          <w:color w:val="auto"/>
        </w:rPr>
        <w:t>I.2.3 -</w:t>
      </w:r>
      <w:r>
        <w:rPr>
          <w:sz w:val="20"/>
          <w:szCs w:val="20"/>
          <w:color w:val="auto"/>
        </w:rPr>
        <w:tab/>
      </w:r>
      <w:r>
        <w:rPr>
          <w:rFonts w:ascii="Calibri" w:cs="Calibri" w:eastAsia="Calibri" w:hAnsi="Calibri"/>
          <w:sz w:val="23"/>
          <w:szCs w:val="23"/>
          <w:i w:val="1"/>
          <w:iCs w:val="1"/>
          <w:color w:val="auto"/>
        </w:rPr>
        <w:t>Sezione III - (eventuali) Destinazioni ancora da regolare</w:t>
      </w:r>
    </w:p>
    <w:p>
      <w:pPr>
        <w:spacing w:after="0" w:line="252" w:lineRule="exact"/>
        <w:rPr>
          <w:sz w:val="20"/>
          <w:szCs w:val="20"/>
          <w:color w:val="auto"/>
        </w:rPr>
      </w:pPr>
    </w:p>
    <w:p>
      <w:pPr>
        <w:ind w:left="56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228" w:lineRule="exact"/>
        <w:rPr>
          <w:sz w:val="20"/>
          <w:szCs w:val="20"/>
          <w:color w:val="auto"/>
        </w:rPr>
      </w:pPr>
    </w:p>
    <w:p>
      <w:pPr>
        <w:ind w:left="360" w:hanging="357"/>
        <w:spacing w:after="0" w:line="253" w:lineRule="auto"/>
        <w:rPr>
          <w:sz w:val="20"/>
          <w:szCs w:val="20"/>
          <w:color w:val="auto"/>
        </w:rPr>
      </w:pPr>
      <w:r>
        <w:rPr>
          <w:rFonts w:ascii="Calibri" w:cs="Calibri" w:eastAsia="Calibri" w:hAnsi="Calibri"/>
          <w:sz w:val="24"/>
          <w:szCs w:val="24"/>
          <w:i w:val="1"/>
          <w:iCs w:val="1"/>
          <w:color w:val="auto"/>
        </w:rPr>
        <w:t>I.2.4 - Sezione IV - Sintesi della definizione delle poste di destinazione del Fondo per la contrattazione integrativa sottoposto a certificazione</w:t>
      </w:r>
    </w:p>
    <w:p>
      <w:pPr>
        <w:spacing w:after="0" w:line="217" w:lineRule="exact"/>
        <w:rPr>
          <w:sz w:val="20"/>
          <w:szCs w:val="20"/>
          <w:color w:val="auto"/>
        </w:rPr>
      </w:pPr>
    </w:p>
    <w:p>
      <w:pPr>
        <w:jc w:val="both"/>
        <w:ind w:left="1140" w:hanging="570"/>
        <w:spacing w:after="0" w:line="249" w:lineRule="auto"/>
        <w:tabs>
          <w:tab w:leader="none" w:pos="1140" w:val="left"/>
        </w:tabs>
        <w:numPr>
          <w:ilvl w:val="0"/>
          <w:numId w:val="7"/>
        </w:numPr>
        <w:rPr>
          <w:rFonts w:ascii="Calibri" w:cs="Calibri" w:eastAsia="Calibri" w:hAnsi="Calibri"/>
          <w:sz w:val="22"/>
          <w:szCs w:val="22"/>
          <w:color w:val="auto"/>
        </w:rPr>
      </w:pPr>
      <w:r>
        <w:rPr>
          <w:rFonts w:ascii="Calibri" w:cs="Calibri" w:eastAsia="Calibri" w:hAnsi="Calibri"/>
          <w:sz w:val="22"/>
          <w:szCs w:val="22"/>
          <w:u w:val="single" w:color="auto"/>
          <w:color w:val="auto"/>
        </w:rPr>
        <w:t>Totale destinazioni non disponibili alla contrattazione integrativa o comunque non regolate esplicitamente dal Provvedimento, determinato dal totale della sezione</w:t>
      </w:r>
      <w:r>
        <w:rPr>
          <w:rFonts w:ascii="Calibri" w:cs="Calibri" w:eastAsia="Calibri" w:hAnsi="Calibri"/>
          <w:sz w:val="22"/>
          <w:szCs w:val="22"/>
          <w:color w:val="auto"/>
        </w:rPr>
        <w:t xml:space="preserve"> 2.1</w:t>
      </w:r>
    </w:p>
    <w:p>
      <w:pPr>
        <w:spacing w:after="0" w:line="100" w:lineRule="exact"/>
        <w:rPr>
          <w:rFonts w:ascii="Calibri" w:cs="Calibri" w:eastAsia="Calibri" w:hAnsi="Calibri"/>
          <w:sz w:val="22"/>
          <w:szCs w:val="22"/>
          <w:color w:val="auto"/>
        </w:rPr>
      </w:pPr>
    </w:p>
    <w:p>
      <w:pPr>
        <w:jc w:val="both"/>
        <w:ind w:left="1340" w:hanging="204"/>
        <w:spacing w:after="0"/>
        <w:tabs>
          <w:tab w:leader="none" w:pos="1340" w:val="left"/>
        </w:tabs>
        <w:numPr>
          <w:ilvl w:val="1"/>
          <w:numId w:val="7"/>
        </w:numPr>
        <w:rPr>
          <w:rFonts w:ascii="Calibri" w:cs="Calibri" w:eastAsia="Calibri" w:hAnsi="Calibri"/>
          <w:sz w:val="22"/>
          <w:szCs w:val="22"/>
          <w:color w:val="auto"/>
        </w:rPr>
      </w:pPr>
      <w:r>
        <w:rPr>
          <w:rFonts w:ascii="Calibri" w:cs="Calibri" w:eastAsia="Calibri" w:hAnsi="Calibri"/>
          <w:sz w:val="22"/>
          <w:szCs w:val="22"/>
          <w:color w:val="auto"/>
        </w:rPr>
        <w:t>627.231,64 (retribuzione di posizione parte fissa);</w:t>
      </w:r>
    </w:p>
    <w:p>
      <w:pPr>
        <w:spacing w:after="0" w:line="120" w:lineRule="exact"/>
        <w:rPr>
          <w:rFonts w:ascii="Calibri" w:cs="Calibri" w:eastAsia="Calibri" w:hAnsi="Calibri"/>
          <w:sz w:val="22"/>
          <w:szCs w:val="22"/>
          <w:color w:val="auto"/>
        </w:rPr>
      </w:pPr>
    </w:p>
    <w:p>
      <w:pPr>
        <w:jc w:val="both"/>
        <w:ind w:left="1140" w:hanging="570"/>
        <w:spacing w:after="0" w:line="247" w:lineRule="auto"/>
        <w:tabs>
          <w:tab w:leader="none" w:pos="1140" w:val="left"/>
        </w:tabs>
        <w:numPr>
          <w:ilvl w:val="0"/>
          <w:numId w:val="7"/>
        </w:numPr>
        <w:rPr>
          <w:rFonts w:ascii="Calibri" w:cs="Calibri" w:eastAsia="Calibri" w:hAnsi="Calibri"/>
          <w:sz w:val="22"/>
          <w:szCs w:val="22"/>
          <w:color w:val="auto"/>
        </w:rPr>
      </w:pPr>
      <w:r>
        <w:rPr>
          <w:rFonts w:ascii="Calibri" w:cs="Calibri" w:eastAsia="Calibri" w:hAnsi="Calibri"/>
          <w:sz w:val="22"/>
          <w:szCs w:val="22"/>
          <w:u w:val="single" w:color="auto"/>
          <w:color w:val="auto"/>
        </w:rPr>
        <w:t>Totale destinazioni specificamente regolate dal Provvedimento, determinato dal totale della sezione</w:t>
      </w:r>
      <w:r>
        <w:rPr>
          <w:rFonts w:ascii="Calibri" w:cs="Calibri" w:eastAsia="Calibri" w:hAnsi="Calibri"/>
          <w:sz w:val="22"/>
          <w:szCs w:val="22"/>
          <w:color w:val="auto"/>
        </w:rPr>
        <w:t xml:space="preserve"> 2.2</w:t>
      </w:r>
    </w:p>
    <w:p>
      <w:pPr>
        <w:spacing w:after="0" w:line="102" w:lineRule="exact"/>
        <w:rPr>
          <w:rFonts w:ascii="Calibri" w:cs="Calibri" w:eastAsia="Calibri" w:hAnsi="Calibri"/>
          <w:sz w:val="22"/>
          <w:szCs w:val="22"/>
          <w:color w:val="auto"/>
        </w:rPr>
      </w:pPr>
    </w:p>
    <w:p>
      <w:pPr>
        <w:jc w:val="both"/>
        <w:ind w:left="1140" w:hanging="4"/>
        <w:spacing w:after="0" w:line="234" w:lineRule="auto"/>
        <w:tabs>
          <w:tab w:leader="none" w:pos="1449" w:val="left"/>
        </w:tabs>
        <w:numPr>
          <w:ilvl w:val="1"/>
          <w:numId w:val="7"/>
        </w:numPr>
        <w:rPr>
          <w:rFonts w:ascii="Calibri" w:cs="Calibri" w:eastAsia="Calibri" w:hAnsi="Calibri"/>
          <w:sz w:val="22"/>
          <w:szCs w:val="22"/>
          <w:color w:val="auto"/>
        </w:rPr>
      </w:pPr>
      <w:r>
        <w:rPr>
          <w:rFonts w:ascii="Verdana" w:cs="Verdana" w:eastAsia="Verdana" w:hAnsi="Verdana"/>
          <w:sz w:val="20"/>
          <w:szCs w:val="20"/>
          <w:color w:val="auto"/>
        </w:rPr>
        <w:t xml:space="preserve">2.206.789,72 </w:t>
      </w:r>
      <w:r>
        <w:rPr>
          <w:rFonts w:ascii="Calibri" w:cs="Calibri" w:eastAsia="Calibri" w:hAnsi="Calibri"/>
          <w:sz w:val="22"/>
          <w:szCs w:val="22"/>
          <w:color w:val="auto"/>
        </w:rPr>
        <w:t>(retribuzione di posizione parte variabile, retribuzione di risultato e</w:t>
      </w:r>
      <w:r>
        <w:rPr>
          <w:rFonts w:ascii="Verdana" w:cs="Verdana" w:eastAsia="Verdana" w:hAnsi="Verdana"/>
          <w:sz w:val="20"/>
          <w:szCs w:val="20"/>
          <w:color w:val="auto"/>
        </w:rPr>
        <w:t xml:space="preserve"> </w:t>
      </w:r>
      <w:r>
        <w:rPr>
          <w:rFonts w:ascii="Calibri" w:cs="Calibri" w:eastAsia="Calibri" w:hAnsi="Calibri"/>
          <w:sz w:val="22"/>
          <w:szCs w:val="22"/>
          <w:color w:val="auto"/>
        </w:rPr>
        <w:t>reggenze);</w:t>
      </w:r>
    </w:p>
    <w:p>
      <w:pPr>
        <w:spacing w:after="0" w:line="111" w:lineRule="exact"/>
        <w:rPr>
          <w:rFonts w:ascii="Calibri" w:cs="Calibri" w:eastAsia="Calibri" w:hAnsi="Calibri"/>
          <w:sz w:val="22"/>
          <w:szCs w:val="22"/>
          <w:color w:val="auto"/>
        </w:rPr>
      </w:pPr>
    </w:p>
    <w:p>
      <w:pPr>
        <w:jc w:val="both"/>
        <w:ind w:left="1140" w:hanging="570"/>
        <w:spacing w:after="0"/>
        <w:tabs>
          <w:tab w:leader="none" w:pos="1140" w:val="left"/>
        </w:tabs>
        <w:numPr>
          <w:ilvl w:val="0"/>
          <w:numId w:val="7"/>
        </w:numPr>
        <w:rPr>
          <w:rFonts w:ascii="Calibri" w:cs="Calibri" w:eastAsia="Calibri" w:hAnsi="Calibri"/>
          <w:sz w:val="22"/>
          <w:szCs w:val="22"/>
          <w:color w:val="auto"/>
        </w:rPr>
      </w:pPr>
      <w:r>
        <w:rPr>
          <w:rFonts w:ascii="Calibri" w:cs="Calibri" w:eastAsia="Calibri" w:hAnsi="Calibri"/>
          <w:sz w:val="22"/>
          <w:szCs w:val="22"/>
          <w:u w:val="single" w:color="auto"/>
          <w:color w:val="auto"/>
        </w:rPr>
        <w:t>Totale delle eventuali destinazioni ancora da regolare, come esposte nella sezione 2.3</w:t>
      </w:r>
    </w:p>
    <w:p>
      <w:pPr>
        <w:spacing w:after="0" w:line="120" w:lineRule="exact"/>
        <w:rPr>
          <w:rFonts w:ascii="Calibri" w:cs="Calibri" w:eastAsia="Calibri" w:hAnsi="Calibri"/>
          <w:sz w:val="22"/>
          <w:szCs w:val="22"/>
          <w:color w:val="auto"/>
        </w:rPr>
      </w:pPr>
    </w:p>
    <w:p>
      <w:pPr>
        <w:jc w:val="both"/>
        <w:ind w:left="1340" w:hanging="204"/>
        <w:spacing w:after="0"/>
        <w:tabs>
          <w:tab w:leader="none" w:pos="1340" w:val="left"/>
        </w:tabs>
        <w:numPr>
          <w:ilvl w:val="1"/>
          <w:numId w:val="7"/>
        </w:numPr>
        <w:rPr>
          <w:rFonts w:ascii="Calibri" w:cs="Calibri" w:eastAsia="Calibri" w:hAnsi="Calibri"/>
          <w:sz w:val="22"/>
          <w:szCs w:val="22"/>
          <w:color w:val="auto"/>
        </w:rPr>
      </w:pPr>
      <w:r>
        <w:rPr>
          <w:rFonts w:ascii="Calibri" w:cs="Calibri" w:eastAsia="Calibri" w:hAnsi="Calibri"/>
          <w:sz w:val="22"/>
          <w:szCs w:val="22"/>
          <w:color w:val="auto"/>
        </w:rPr>
        <w:t>0,00</w:t>
      </w:r>
    </w:p>
    <w:p>
      <w:pPr>
        <w:spacing w:after="0" w:line="120" w:lineRule="exact"/>
        <w:rPr>
          <w:rFonts w:ascii="Calibri" w:cs="Calibri" w:eastAsia="Calibri" w:hAnsi="Calibri"/>
          <w:sz w:val="22"/>
          <w:szCs w:val="22"/>
          <w:color w:val="auto"/>
        </w:rPr>
      </w:pPr>
    </w:p>
    <w:p>
      <w:pPr>
        <w:jc w:val="both"/>
        <w:ind w:left="1140" w:hanging="570"/>
        <w:spacing w:after="0" w:line="244" w:lineRule="auto"/>
        <w:tabs>
          <w:tab w:leader="none" w:pos="1140" w:val="left"/>
        </w:tabs>
        <w:numPr>
          <w:ilvl w:val="0"/>
          <w:numId w:val="7"/>
        </w:numPr>
        <w:rPr>
          <w:rFonts w:ascii="Calibri" w:cs="Calibri" w:eastAsia="Calibri" w:hAnsi="Calibri"/>
          <w:sz w:val="22"/>
          <w:szCs w:val="22"/>
          <w:color w:val="auto"/>
        </w:rPr>
      </w:pPr>
      <w:r>
        <w:rPr>
          <w:rFonts w:ascii="Calibri" w:cs="Calibri" w:eastAsia="Calibri" w:hAnsi="Calibri"/>
          <w:sz w:val="22"/>
          <w:szCs w:val="22"/>
          <w:u w:val="single" w:color="auto"/>
          <w:color w:val="auto"/>
        </w:rPr>
        <w:t>Totale poste di destinazione del Fondo sottoposto a certificazione, determinato dalla somma delle tre voci precedenti coincide con il totale esposto nella Sezione</w:t>
      </w:r>
      <w:r>
        <w:rPr>
          <w:rFonts w:ascii="Calibri" w:cs="Calibri" w:eastAsia="Calibri" w:hAnsi="Calibri"/>
          <w:sz w:val="22"/>
          <w:szCs w:val="22"/>
          <w:color w:val="auto"/>
        </w:rPr>
        <w:t xml:space="preserve"> IV del Modulo I (Costituzione del Fondo).</w:t>
      </w:r>
    </w:p>
    <w:p>
      <w:pPr>
        <w:spacing w:after="0" w:line="110" w:lineRule="exact"/>
        <w:rPr>
          <w:rFonts w:ascii="Calibri" w:cs="Calibri" w:eastAsia="Calibri" w:hAnsi="Calibri"/>
          <w:sz w:val="22"/>
          <w:szCs w:val="22"/>
          <w:color w:val="auto"/>
        </w:rPr>
      </w:pPr>
    </w:p>
    <w:p>
      <w:pPr>
        <w:jc w:val="both"/>
        <w:ind w:left="1340" w:hanging="204"/>
        <w:spacing w:after="0"/>
        <w:tabs>
          <w:tab w:leader="none" w:pos="1340" w:val="left"/>
        </w:tabs>
        <w:numPr>
          <w:ilvl w:val="1"/>
          <w:numId w:val="7"/>
        </w:numPr>
        <w:rPr>
          <w:rFonts w:ascii="Calibri" w:cs="Calibri" w:eastAsia="Calibri" w:hAnsi="Calibri"/>
          <w:sz w:val="22"/>
          <w:szCs w:val="22"/>
          <w:color w:val="auto"/>
        </w:rPr>
      </w:pPr>
      <w:r>
        <w:rPr>
          <w:rFonts w:ascii="Verdana" w:cs="Verdana" w:eastAsia="Verdana" w:hAnsi="Verdana"/>
          <w:sz w:val="20"/>
          <w:szCs w:val="20"/>
          <w:color w:val="auto"/>
        </w:rPr>
        <w:t>2.834.021,36</w:t>
      </w:r>
    </w:p>
    <w:p>
      <w:pPr>
        <w:spacing w:after="0" w:line="228" w:lineRule="exact"/>
        <w:rPr>
          <w:sz w:val="20"/>
          <w:szCs w:val="20"/>
          <w:color w:val="auto"/>
        </w:rPr>
      </w:pPr>
    </w:p>
    <w:p>
      <w:pPr>
        <w:spacing w:after="0"/>
        <w:tabs>
          <w:tab w:leader="none" w:pos="840" w:val="left"/>
        </w:tabs>
        <w:rPr>
          <w:sz w:val="20"/>
          <w:szCs w:val="20"/>
          <w:color w:val="auto"/>
        </w:rPr>
      </w:pPr>
      <w:r>
        <w:rPr>
          <w:rFonts w:ascii="Calibri" w:cs="Calibri" w:eastAsia="Calibri" w:hAnsi="Calibri"/>
          <w:sz w:val="24"/>
          <w:szCs w:val="24"/>
          <w:i w:val="1"/>
          <w:iCs w:val="1"/>
          <w:color w:val="auto"/>
        </w:rPr>
        <w:t>I.2.5 -</w:t>
      </w:r>
      <w:r>
        <w:rPr>
          <w:sz w:val="20"/>
          <w:szCs w:val="20"/>
          <w:color w:val="auto"/>
        </w:rPr>
        <w:tab/>
      </w:r>
      <w:r>
        <w:rPr>
          <w:rFonts w:ascii="Calibri" w:cs="Calibri" w:eastAsia="Calibri" w:hAnsi="Calibri"/>
          <w:sz w:val="23"/>
          <w:szCs w:val="23"/>
          <w:i w:val="1"/>
          <w:iCs w:val="1"/>
          <w:color w:val="auto"/>
        </w:rPr>
        <w:t>Sezione V - Destinazioni temporaneamente allocate all’esterno del Fondo</w:t>
      </w:r>
    </w:p>
    <w:p>
      <w:pPr>
        <w:spacing w:after="0" w:line="252" w:lineRule="exact"/>
        <w:rPr>
          <w:sz w:val="20"/>
          <w:szCs w:val="20"/>
          <w:color w:val="auto"/>
        </w:rPr>
      </w:pPr>
    </w:p>
    <w:p>
      <w:pPr>
        <w:ind w:left="56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-15875</wp:posOffset>
                </wp:positionH>
                <wp:positionV relativeFrom="paragraph">
                  <wp:posOffset>358140</wp:posOffset>
                </wp:positionV>
                <wp:extent cx="593979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39790" cy="0"/>
                        </a:xfrm>
                        <a:prstGeom prst="line">
                          <a:avLst/>
                        </a:prstGeom>
                        <a:solidFill>
                          <a:srgbClr val="FFFFFF"/>
                        </a:solidFill>
                        <a:ln w="3035">
                          <a:solidFill>
                            <a:srgbClr val="4F81BD"/>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499pt,28.2pt" to="466.45pt,28.2pt" o:allowincell="f" strokecolor="#4F81BD" strokeweight="0.239pt"/>
            </w:pict>
          </mc:Fallback>
        </mc:AlternateContent>
      </w:r>
    </w:p>
    <w:p>
      <w:pPr>
        <w:spacing w:after="0" w:line="374" w:lineRule="exact"/>
        <w:rPr>
          <w:sz w:val="20"/>
          <w:szCs w:val="20"/>
          <w:color w:val="auto"/>
        </w:rPr>
      </w:pPr>
    </w:p>
    <w:p>
      <w:pPr>
        <w:ind w:left="9200"/>
        <w:spacing w:after="0"/>
        <w:rPr>
          <w:sz w:val="20"/>
          <w:szCs w:val="20"/>
          <w:color w:val="auto"/>
        </w:rPr>
      </w:pPr>
      <w:r>
        <w:rPr>
          <w:rFonts w:ascii="Calibri" w:cs="Calibri" w:eastAsia="Calibri" w:hAnsi="Calibri"/>
          <w:sz w:val="18"/>
          <w:szCs w:val="18"/>
          <w:i w:val="1"/>
          <w:iCs w:val="1"/>
          <w:color w:val="4F81BD"/>
        </w:rPr>
        <w:t>3</w:t>
      </w:r>
    </w:p>
    <w:p>
      <w:pPr>
        <w:sectPr>
          <w:pgSz w:w="11900" w:h="16838" w:orient="portrait"/>
          <w:cols w:equalWidth="0" w:num="1">
            <w:col w:w="9300"/>
          </w:cols>
          <w:pgMar w:left="1300" w:top="1440" w:right="1300" w:bottom="567" w:gutter="0" w:footer="0" w:header="0"/>
        </w:sectPr>
      </w:pPr>
    </w:p>
    <w:bookmarkStart w:id="3" w:name="page4"/>
    <w:bookmarkEnd w:id="3"/>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450215</wp:posOffset>
            </wp:positionV>
            <wp:extent cx="581025" cy="6762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9" w:lineRule="exact"/>
        <w:rPr>
          <w:sz w:val="20"/>
          <w:szCs w:val="20"/>
          <w:color w:val="auto"/>
        </w:rPr>
      </w:pPr>
    </w:p>
    <w:p>
      <w:pPr>
        <w:ind w:left="226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0"/>
          <w:szCs w:val="20"/>
          <w:color w:val="auto"/>
        </w:rPr>
      </w:pPr>
    </w:p>
    <w:p>
      <w:pPr>
        <w:ind w:left="298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354" w:lineRule="exact"/>
        <w:rPr>
          <w:sz w:val="20"/>
          <w:szCs w:val="20"/>
          <w:color w:val="auto"/>
        </w:rPr>
      </w:pPr>
    </w:p>
    <w:p>
      <w:pPr>
        <w:ind w:left="460" w:right="120" w:hanging="357"/>
        <w:spacing w:after="0" w:line="253" w:lineRule="auto"/>
        <w:rPr>
          <w:sz w:val="20"/>
          <w:szCs w:val="20"/>
          <w:color w:val="auto"/>
        </w:rPr>
      </w:pPr>
      <w:r>
        <w:rPr>
          <w:rFonts w:ascii="Calibri" w:cs="Calibri" w:eastAsia="Calibri" w:hAnsi="Calibri"/>
          <w:sz w:val="24"/>
          <w:szCs w:val="24"/>
          <w:i w:val="1"/>
          <w:iCs w:val="1"/>
          <w:color w:val="auto"/>
        </w:rPr>
        <w:t>I.2.6 - Sezione VI - Attestazione motivata, dal punto di vista tecnico-finanziario, del rispetto di vincoli di carattere generale</w:t>
      </w:r>
    </w:p>
    <w:p>
      <w:pPr>
        <w:spacing w:after="0" w:line="219" w:lineRule="exact"/>
        <w:rPr>
          <w:sz w:val="20"/>
          <w:szCs w:val="20"/>
          <w:color w:val="auto"/>
        </w:rPr>
      </w:pPr>
    </w:p>
    <w:p>
      <w:pPr>
        <w:ind w:left="660"/>
        <w:spacing w:after="0"/>
        <w:rPr>
          <w:sz w:val="20"/>
          <w:szCs w:val="20"/>
          <w:color w:val="auto"/>
        </w:rPr>
      </w:pPr>
      <w:r>
        <w:rPr>
          <w:rFonts w:ascii="Calibri" w:cs="Calibri" w:eastAsia="Calibri" w:hAnsi="Calibri"/>
          <w:sz w:val="22"/>
          <w:szCs w:val="22"/>
          <w:color w:val="auto"/>
        </w:rPr>
        <w:t>Si attesta:</w:t>
      </w:r>
    </w:p>
    <w:p>
      <w:pPr>
        <w:spacing w:after="0" w:line="118" w:lineRule="exact"/>
        <w:rPr>
          <w:sz w:val="20"/>
          <w:szCs w:val="20"/>
          <w:color w:val="auto"/>
        </w:rPr>
      </w:pPr>
    </w:p>
    <w:p>
      <w:pPr>
        <w:jc w:val="both"/>
        <w:ind w:left="460" w:right="120" w:hanging="357"/>
        <w:spacing w:after="0" w:line="249" w:lineRule="auto"/>
        <w:tabs>
          <w:tab w:leader="none" w:pos="460" w:val="left"/>
        </w:tabs>
        <w:numPr>
          <w:ilvl w:val="0"/>
          <w:numId w:val="8"/>
        </w:numPr>
        <w:rPr>
          <w:rFonts w:ascii="Calibri" w:cs="Calibri" w:eastAsia="Calibri" w:hAnsi="Calibri"/>
          <w:sz w:val="22"/>
          <w:szCs w:val="22"/>
          <w:color w:val="auto"/>
        </w:rPr>
      </w:pPr>
      <w:r>
        <w:rPr>
          <w:rFonts w:ascii="Calibri" w:cs="Calibri" w:eastAsia="Calibri" w:hAnsi="Calibri"/>
          <w:sz w:val="22"/>
          <w:szCs w:val="22"/>
          <w:color w:val="auto"/>
        </w:rPr>
        <w:t>Il rispetto di copertura delle destinazioni di utilizzo del Fondo aventi natura certa e continuativa con risorse del Fondo fisse aventi carattere di certezza e stabilità;</w:t>
      </w:r>
    </w:p>
    <w:p>
      <w:pPr>
        <w:spacing w:after="0" w:line="100" w:lineRule="exact"/>
        <w:rPr>
          <w:rFonts w:ascii="Calibri" w:cs="Calibri" w:eastAsia="Calibri" w:hAnsi="Calibri"/>
          <w:sz w:val="22"/>
          <w:szCs w:val="22"/>
          <w:color w:val="auto"/>
        </w:rPr>
      </w:pPr>
    </w:p>
    <w:p>
      <w:pPr>
        <w:jc w:val="both"/>
        <w:ind w:left="460" w:hanging="357"/>
        <w:spacing w:after="0"/>
        <w:tabs>
          <w:tab w:leader="none" w:pos="460" w:val="left"/>
        </w:tabs>
        <w:numPr>
          <w:ilvl w:val="0"/>
          <w:numId w:val="8"/>
        </w:numPr>
        <w:rPr>
          <w:rFonts w:ascii="Calibri" w:cs="Calibri" w:eastAsia="Calibri" w:hAnsi="Calibri"/>
          <w:sz w:val="22"/>
          <w:szCs w:val="22"/>
          <w:color w:val="auto"/>
        </w:rPr>
      </w:pPr>
      <w:r>
        <w:rPr>
          <w:rFonts w:ascii="Calibri" w:cs="Calibri" w:eastAsia="Calibri" w:hAnsi="Calibri"/>
          <w:sz w:val="22"/>
          <w:szCs w:val="22"/>
          <w:color w:val="auto"/>
        </w:rPr>
        <w:t>il rispetto del principio di attribuzione selettiva di incentivi economici;</w:t>
      </w:r>
    </w:p>
    <w:p>
      <w:pPr>
        <w:spacing w:after="0" w:line="120" w:lineRule="exact"/>
        <w:rPr>
          <w:rFonts w:ascii="Calibri" w:cs="Calibri" w:eastAsia="Calibri" w:hAnsi="Calibri"/>
          <w:sz w:val="22"/>
          <w:szCs w:val="22"/>
          <w:color w:val="auto"/>
        </w:rPr>
      </w:pPr>
    </w:p>
    <w:p>
      <w:pPr>
        <w:jc w:val="both"/>
        <w:ind w:left="460" w:right="120" w:hanging="357"/>
        <w:spacing w:after="0" w:line="244" w:lineRule="auto"/>
        <w:tabs>
          <w:tab w:leader="none" w:pos="460" w:val="left"/>
        </w:tabs>
        <w:numPr>
          <w:ilvl w:val="0"/>
          <w:numId w:val="8"/>
        </w:numPr>
        <w:rPr>
          <w:rFonts w:ascii="Calibri" w:cs="Calibri" w:eastAsia="Calibri" w:hAnsi="Calibri"/>
          <w:sz w:val="22"/>
          <w:szCs w:val="22"/>
          <w:color w:val="auto"/>
        </w:rPr>
      </w:pPr>
      <w:r>
        <w:rPr>
          <w:rFonts w:ascii="Calibri" w:cs="Calibri" w:eastAsia="Calibri" w:hAnsi="Calibri"/>
          <w:sz w:val="22"/>
          <w:szCs w:val="22"/>
          <w:color w:val="auto"/>
        </w:rPr>
        <w:t>per quanto riferito al rispetto del principio di selettività delle progressioni di carriera finanziate con il Fondo per la contrattazione integrativa (progressioni orizzontali) in questa sede non si procede ad attribuzioni di progressioni orizzontali.</w:t>
      </w:r>
    </w:p>
    <w:p>
      <w:pPr>
        <w:spacing w:after="0" w:line="350" w:lineRule="exact"/>
        <w:rPr>
          <w:sz w:val="20"/>
          <w:szCs w:val="20"/>
          <w:color w:val="auto"/>
        </w:rPr>
      </w:pPr>
    </w:p>
    <w:p>
      <w:pPr>
        <w:ind w:left="460" w:right="120" w:hanging="357"/>
        <w:spacing w:after="0" w:line="248" w:lineRule="auto"/>
        <w:rPr>
          <w:sz w:val="20"/>
          <w:szCs w:val="20"/>
          <w:color w:val="auto"/>
        </w:rPr>
      </w:pPr>
      <w:r>
        <w:rPr>
          <w:rFonts w:ascii="Calibri" w:cs="Calibri" w:eastAsia="Calibri" w:hAnsi="Calibri"/>
          <w:sz w:val="24"/>
          <w:szCs w:val="24"/>
          <w:b w:val="1"/>
          <w:bCs w:val="1"/>
          <w:i w:val="1"/>
          <w:iCs w:val="1"/>
          <w:color w:val="auto"/>
        </w:rPr>
        <w:t>I.3 - Modulo III - Schema generale riassuntivo del Fondo per la contrattazione integrativa e confronto con il corrispondente Fondo certificato dell’anno precedente</w:t>
      </w:r>
    </w:p>
    <w:p>
      <w:pPr>
        <w:spacing w:after="0" w:line="381"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46990</wp:posOffset>
                </wp:positionH>
                <wp:positionV relativeFrom="paragraph">
                  <wp:posOffset>5080</wp:posOffset>
                </wp:positionV>
                <wp:extent cx="5940425"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40425" cy="0"/>
                        </a:xfrm>
                        <a:prstGeom prst="line">
                          <a:avLst/>
                        </a:prstGeom>
                        <a:solidFill>
                          <a:srgbClr val="FFFFFF"/>
                        </a:solidFill>
                        <a:ln w="6108">
                          <a:solidFill>
                            <a:srgbClr val="C0C0C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7pt,0.4pt" to="471.45pt,0.4pt" o:allowincell="f" strokecolor="#C0C0C0" strokeweight="0.4809pt"/>
            </w:pict>
          </mc:Fallback>
        </mc:AlternateContent>
        <mc:AlternateContent>
          <mc:Choice Requires="wps">
            <w:drawing>
              <wp:anchor simplePos="0" relativeHeight="251657728" behindDoc="1" locked="0" layoutInCell="0" allowOverlap="1">
                <wp:simplePos x="0" y="0"/>
                <wp:positionH relativeFrom="column">
                  <wp:posOffset>-5715</wp:posOffset>
                </wp:positionH>
                <wp:positionV relativeFrom="paragraph">
                  <wp:posOffset>239395</wp:posOffset>
                </wp:positionV>
                <wp:extent cx="604647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46470" cy="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499pt,18.85pt" to="475.65pt,18.85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-2540</wp:posOffset>
                </wp:positionH>
                <wp:positionV relativeFrom="paragraph">
                  <wp:posOffset>236855</wp:posOffset>
                </wp:positionV>
                <wp:extent cx="0" cy="1650365"/>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1650365"/>
                        </a:xfrm>
                        <a:prstGeom prst="line">
                          <a:avLst/>
                        </a:prstGeom>
                        <a:solidFill>
                          <a:srgbClr val="FFFFFF"/>
                        </a:solidFill>
                        <a:ln w="6108">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999pt,18.65pt" to="-0.1999pt,148.6pt" o:allowincell="f" strokecolor="#000000" strokeweight="0.4809pt"/>
            </w:pict>
          </mc:Fallback>
        </mc:AlternateContent>
        <mc:AlternateContent>
          <mc:Choice Requires="wps">
            <w:drawing>
              <wp:anchor simplePos="0" relativeHeight="251657728" behindDoc="1" locked="0" layoutInCell="0" allowOverlap="1">
                <wp:simplePos x="0" y="0"/>
                <wp:positionH relativeFrom="column">
                  <wp:posOffset>697865</wp:posOffset>
                </wp:positionH>
                <wp:positionV relativeFrom="paragraph">
                  <wp:posOffset>236855</wp:posOffset>
                </wp:positionV>
                <wp:extent cx="0" cy="1650365"/>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165036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4.95pt,18.65pt" to="54.95pt,148.6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1427480</wp:posOffset>
                </wp:positionH>
                <wp:positionV relativeFrom="paragraph">
                  <wp:posOffset>236855</wp:posOffset>
                </wp:positionV>
                <wp:extent cx="0" cy="165036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1650365"/>
                        </a:xfrm>
                        <a:prstGeom prst="line">
                          <a:avLst/>
                        </a:prstGeom>
                        <a:solidFill>
                          <a:srgbClr val="FFFFFF"/>
                        </a:solidFill>
                        <a:ln w="6108">
                          <a:solidFill>
                            <a:srgbClr val="000000"/>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12.4pt,18.65pt" to="112.4pt,148.6pt" o:allowincell="f" strokecolor="#000000" strokeweight="0.4809pt"/>
            </w:pict>
          </mc:Fallback>
        </mc:AlternateContent>
        <mc:AlternateContent>
          <mc:Choice Requires="wps">
            <w:drawing>
              <wp:anchor simplePos="0" relativeHeight="251657728" behindDoc="1" locked="0" layoutInCell="0" allowOverlap="1">
                <wp:simplePos x="0" y="0"/>
                <wp:positionH relativeFrom="column">
                  <wp:posOffset>2305685</wp:posOffset>
                </wp:positionH>
                <wp:positionV relativeFrom="paragraph">
                  <wp:posOffset>236855</wp:posOffset>
                </wp:positionV>
                <wp:extent cx="0" cy="165036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1650365"/>
                        </a:xfrm>
                        <a:prstGeom prst="line">
                          <a:avLst/>
                        </a:prstGeom>
                        <a:solidFill>
                          <a:srgbClr val="FFFFFF"/>
                        </a:solidFill>
                        <a:ln w="6108">
                          <a:solidFill>
                            <a:srgbClr val="00000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81.55pt,18.65pt" to="181.55pt,148.6pt" o:allowincell="f" strokecolor="#000000" strokeweight="0.4809pt"/>
            </w:pict>
          </mc:Fallback>
        </mc:AlternateContent>
        <mc:AlternateContent>
          <mc:Choice Requires="wps">
            <w:drawing>
              <wp:anchor simplePos="0" relativeHeight="251657728" behindDoc="1" locked="0" layoutInCell="0" allowOverlap="1">
                <wp:simplePos x="0" y="0"/>
                <wp:positionH relativeFrom="column">
                  <wp:posOffset>2985135</wp:posOffset>
                </wp:positionH>
                <wp:positionV relativeFrom="paragraph">
                  <wp:posOffset>236855</wp:posOffset>
                </wp:positionV>
                <wp:extent cx="0" cy="1650365"/>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165036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6" o:spid="_x0000_s104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35.05pt,18.65pt" to="235.05pt,148.6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3636010</wp:posOffset>
                </wp:positionH>
                <wp:positionV relativeFrom="paragraph">
                  <wp:posOffset>236855</wp:posOffset>
                </wp:positionV>
                <wp:extent cx="0" cy="1650365"/>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1650365"/>
                        </a:xfrm>
                        <a:prstGeom prst="line">
                          <a:avLst/>
                        </a:prstGeom>
                        <a:solidFill>
                          <a:srgbClr val="FFFFFF"/>
                        </a:solidFill>
                        <a:ln w="6108">
                          <a:solidFill>
                            <a:srgbClr val="00000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3pt,18.65pt" to="286.3pt,148.6pt" o:allowincell="f" strokecolor="#000000" strokeweight="0.4809pt"/>
            </w:pict>
          </mc:Fallback>
        </mc:AlternateContent>
        <mc:AlternateContent>
          <mc:Choice Requires="wps">
            <w:drawing>
              <wp:anchor simplePos="0" relativeHeight="251657728" behindDoc="1" locked="0" layoutInCell="0" allowOverlap="1">
                <wp:simplePos x="0" y="0"/>
                <wp:positionH relativeFrom="column">
                  <wp:posOffset>4481830</wp:posOffset>
                </wp:positionH>
                <wp:positionV relativeFrom="paragraph">
                  <wp:posOffset>236855</wp:posOffset>
                </wp:positionV>
                <wp:extent cx="0" cy="1650365"/>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1650365"/>
                        </a:xfrm>
                        <a:prstGeom prst="line">
                          <a:avLst/>
                        </a:prstGeom>
                        <a:solidFill>
                          <a:srgbClr val="FFFFFF"/>
                        </a:solidFill>
                        <a:ln w="6108">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52.9pt,18.65pt" to="352.9pt,148.6pt" o:allowincell="f" strokecolor="#000000" strokeweight="0.4809pt"/>
            </w:pict>
          </mc:Fallback>
        </mc:AlternateContent>
        <mc:AlternateContent>
          <mc:Choice Requires="wps">
            <w:drawing>
              <wp:anchor simplePos="0" relativeHeight="251657728" behindDoc="1" locked="0" layoutInCell="0" allowOverlap="1">
                <wp:simplePos x="0" y="0"/>
                <wp:positionH relativeFrom="column">
                  <wp:posOffset>5295900</wp:posOffset>
                </wp:positionH>
                <wp:positionV relativeFrom="paragraph">
                  <wp:posOffset>236855</wp:posOffset>
                </wp:positionV>
                <wp:extent cx="0" cy="1650365"/>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1650365"/>
                        </a:xfrm>
                        <a:prstGeom prst="line">
                          <a:avLst/>
                        </a:prstGeom>
                        <a:solidFill>
                          <a:srgbClr val="FFFFFF"/>
                        </a:solidFill>
                        <a:ln w="6108">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17pt,18.65pt" to="417pt,148.6pt" o:allowincell="f" strokecolor="#000000" strokeweight="0.4809pt"/>
            </w:pict>
          </mc:Fallback>
        </mc:AlternateContent>
        <mc:AlternateContent>
          <mc:Choice Requires="wps">
            <w:drawing>
              <wp:anchor simplePos="0" relativeHeight="251657728" behindDoc="1" locked="0" layoutInCell="0" allowOverlap="1">
                <wp:simplePos x="0" y="0"/>
                <wp:positionH relativeFrom="column">
                  <wp:posOffset>6037580</wp:posOffset>
                </wp:positionH>
                <wp:positionV relativeFrom="paragraph">
                  <wp:posOffset>236855</wp:posOffset>
                </wp:positionV>
                <wp:extent cx="0" cy="1650365"/>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165036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5.4pt,18.65pt" to="475.4pt,148.6pt" o:allowincell="f" strokecolor="#000000" strokeweight="0.4799pt"/>
            </w:pict>
          </mc:Fallback>
        </mc:AlternateContent>
      </w:r>
    </w:p>
    <w:tbl>
      <w:tblPr>
        <w:tblLayout w:type="fixed"/>
        <w:tblInd w:w="0" w:type="dxa"/>
        <w:tblCellMar>
          <w:top w:w="0" w:type="dxa"/>
          <w:left w:w="0" w:type="dxa"/>
          <w:bottom w:w="0" w:type="dxa"/>
          <w:right w:w="0" w:type="dxa"/>
        </w:tblCellMar>
      </w:tblPr>
      <w:tr>
        <w:trPr>
          <w:trHeight w:val="244"/>
        </w:trPr>
        <w:tc>
          <w:tcPr>
            <w:tcW w:w="1100" w:type="dxa"/>
            <w:vAlign w:val="bottom"/>
          </w:tcPr>
          <w:p>
            <w:pPr>
              <w:ind w:left="100"/>
              <w:spacing w:after="0"/>
              <w:rPr>
                <w:sz w:val="20"/>
                <w:szCs w:val="20"/>
                <w:color w:val="auto"/>
              </w:rPr>
            </w:pPr>
            <w:r>
              <w:rPr>
                <w:rFonts w:ascii="Calibri" w:cs="Calibri" w:eastAsia="Calibri" w:hAnsi="Calibri"/>
                <w:sz w:val="20"/>
                <w:szCs w:val="20"/>
                <w:color w:val="auto"/>
              </w:rPr>
              <w:t>Anno</w:t>
            </w:r>
          </w:p>
        </w:tc>
        <w:tc>
          <w:tcPr>
            <w:tcW w:w="1100" w:type="dxa"/>
            <w:vAlign w:val="bottom"/>
          </w:tcPr>
          <w:p>
            <w:pPr>
              <w:ind w:left="100"/>
              <w:spacing w:after="0"/>
              <w:rPr>
                <w:sz w:val="20"/>
                <w:szCs w:val="20"/>
                <w:color w:val="auto"/>
              </w:rPr>
            </w:pPr>
            <w:r>
              <w:rPr>
                <w:rFonts w:ascii="Calibri" w:cs="Calibri" w:eastAsia="Calibri" w:hAnsi="Calibri"/>
                <w:sz w:val="20"/>
                <w:szCs w:val="20"/>
                <w:color w:val="auto"/>
              </w:rPr>
              <w:t>Stato</w:t>
            </w:r>
          </w:p>
        </w:tc>
        <w:tc>
          <w:tcPr>
            <w:tcW w:w="1380" w:type="dxa"/>
            <w:vAlign w:val="bottom"/>
          </w:tcPr>
          <w:p>
            <w:pPr>
              <w:ind w:left="160"/>
              <w:spacing w:after="0"/>
              <w:rPr>
                <w:sz w:val="20"/>
                <w:szCs w:val="20"/>
                <w:color w:val="auto"/>
              </w:rPr>
            </w:pPr>
            <w:r>
              <w:rPr>
                <w:rFonts w:ascii="Calibri" w:cs="Calibri" w:eastAsia="Calibri" w:hAnsi="Calibri"/>
                <w:sz w:val="20"/>
                <w:szCs w:val="20"/>
                <w:color w:val="auto"/>
              </w:rPr>
              <w:t>Importo</w:t>
            </w:r>
          </w:p>
        </w:tc>
        <w:tc>
          <w:tcPr>
            <w:tcW w:w="1100" w:type="dxa"/>
            <w:vAlign w:val="bottom"/>
          </w:tcPr>
          <w:p>
            <w:pPr>
              <w:ind w:left="160"/>
              <w:spacing w:after="0"/>
              <w:rPr>
                <w:sz w:val="20"/>
                <w:szCs w:val="20"/>
                <w:color w:val="auto"/>
              </w:rPr>
            </w:pPr>
            <w:r>
              <w:rPr>
                <w:rFonts w:ascii="Calibri" w:cs="Calibri" w:eastAsia="Calibri" w:hAnsi="Calibri"/>
                <w:sz w:val="20"/>
                <w:szCs w:val="20"/>
                <w:color w:val="auto"/>
              </w:rPr>
              <w:t>Incarichi</w:t>
            </w:r>
          </w:p>
        </w:tc>
        <w:tc>
          <w:tcPr>
            <w:tcW w:w="1040" w:type="dxa"/>
            <w:vAlign w:val="bottom"/>
          </w:tcPr>
          <w:p>
            <w:pPr>
              <w:ind w:left="120"/>
              <w:spacing w:after="0"/>
              <w:rPr>
                <w:sz w:val="20"/>
                <w:szCs w:val="20"/>
                <w:color w:val="auto"/>
              </w:rPr>
            </w:pPr>
            <w:r>
              <w:rPr>
                <w:rFonts w:ascii="Calibri" w:cs="Calibri" w:eastAsia="Calibri" w:hAnsi="Calibri"/>
                <w:sz w:val="20"/>
                <w:szCs w:val="20"/>
                <w:color w:val="auto"/>
              </w:rPr>
              <w:t>Somma</w:t>
            </w:r>
          </w:p>
        </w:tc>
        <w:tc>
          <w:tcPr>
            <w:tcW w:w="1340" w:type="dxa"/>
            <w:vAlign w:val="bottom"/>
          </w:tcPr>
          <w:p>
            <w:pPr>
              <w:ind w:left="120"/>
              <w:spacing w:after="0"/>
              <w:rPr>
                <w:sz w:val="20"/>
                <w:szCs w:val="20"/>
                <w:color w:val="auto"/>
              </w:rPr>
            </w:pPr>
            <w:r>
              <w:rPr>
                <w:rFonts w:ascii="Calibri" w:cs="Calibri" w:eastAsia="Calibri" w:hAnsi="Calibri"/>
                <w:sz w:val="20"/>
                <w:szCs w:val="20"/>
                <w:color w:val="auto"/>
              </w:rPr>
              <w:t>Importo  del</w:t>
            </w:r>
          </w:p>
        </w:tc>
        <w:tc>
          <w:tcPr>
            <w:tcW w:w="1280" w:type="dxa"/>
            <w:vAlign w:val="bottom"/>
          </w:tcPr>
          <w:p>
            <w:pPr>
              <w:ind w:left="100"/>
              <w:spacing w:after="0"/>
              <w:rPr>
                <w:sz w:val="20"/>
                <w:szCs w:val="20"/>
                <w:color w:val="auto"/>
              </w:rPr>
            </w:pPr>
            <w:r>
              <w:rPr>
                <w:rFonts w:ascii="Calibri" w:cs="Calibri" w:eastAsia="Calibri" w:hAnsi="Calibri"/>
                <w:sz w:val="20"/>
                <w:szCs w:val="20"/>
                <w:color w:val="auto"/>
              </w:rPr>
              <w:t>Importo</w:t>
            </w:r>
          </w:p>
        </w:tc>
        <w:tc>
          <w:tcPr>
            <w:tcW w:w="1180" w:type="dxa"/>
            <w:vAlign w:val="bottom"/>
          </w:tcPr>
          <w:p>
            <w:pPr>
              <w:ind w:left="100"/>
              <w:spacing w:after="0"/>
              <w:rPr>
                <w:sz w:val="20"/>
                <w:szCs w:val="20"/>
                <w:color w:val="auto"/>
              </w:rPr>
            </w:pPr>
            <w:r>
              <w:rPr>
                <w:rFonts w:ascii="Calibri" w:cs="Calibri" w:eastAsia="Calibri" w:hAnsi="Calibri"/>
                <w:sz w:val="20"/>
                <w:szCs w:val="20"/>
                <w:color w:val="auto"/>
              </w:rPr>
              <w:t>Variazioni</w:t>
            </w:r>
          </w:p>
        </w:tc>
      </w:tr>
      <w:tr>
        <w:trPr>
          <w:trHeight w:val="245"/>
        </w:trPr>
        <w:tc>
          <w:tcPr>
            <w:tcW w:w="110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380" w:type="dxa"/>
            <w:vAlign w:val="bottom"/>
          </w:tcPr>
          <w:p>
            <w:pPr>
              <w:ind w:left="160"/>
              <w:spacing w:after="0"/>
              <w:rPr>
                <w:sz w:val="20"/>
                <w:szCs w:val="20"/>
                <w:color w:val="auto"/>
              </w:rPr>
            </w:pPr>
            <w:r>
              <w:rPr>
                <w:rFonts w:ascii="Calibri" w:cs="Calibri" w:eastAsia="Calibri" w:hAnsi="Calibri"/>
                <w:sz w:val="20"/>
                <w:szCs w:val="20"/>
                <w:color w:val="auto"/>
              </w:rPr>
              <w:t>assegnazione</w:t>
            </w:r>
          </w:p>
        </w:tc>
        <w:tc>
          <w:tcPr>
            <w:tcW w:w="1100" w:type="dxa"/>
            <w:vAlign w:val="bottom"/>
          </w:tcPr>
          <w:p>
            <w:pPr>
              <w:ind w:left="160"/>
              <w:spacing w:after="0"/>
              <w:rPr>
                <w:sz w:val="20"/>
                <w:szCs w:val="20"/>
                <w:color w:val="auto"/>
              </w:rPr>
            </w:pPr>
            <w:r>
              <w:rPr>
                <w:rFonts w:ascii="Calibri" w:cs="Calibri" w:eastAsia="Calibri" w:hAnsi="Calibri"/>
                <w:sz w:val="20"/>
                <w:szCs w:val="20"/>
                <w:color w:val="auto"/>
              </w:rPr>
              <w:t>aggiuntivi</w:t>
            </w:r>
          </w:p>
        </w:tc>
        <w:tc>
          <w:tcPr>
            <w:tcW w:w="1040" w:type="dxa"/>
            <w:vAlign w:val="bottom"/>
          </w:tcPr>
          <w:p>
            <w:pPr>
              <w:ind w:left="120"/>
              <w:spacing w:after="0"/>
              <w:rPr>
                <w:sz w:val="20"/>
                <w:szCs w:val="20"/>
                <w:color w:val="auto"/>
              </w:rPr>
            </w:pPr>
            <w:r>
              <w:rPr>
                <w:rFonts w:ascii="Calibri" w:cs="Calibri" w:eastAsia="Calibri" w:hAnsi="Calibri"/>
                <w:sz w:val="20"/>
                <w:szCs w:val="20"/>
                <w:color w:val="auto"/>
              </w:rPr>
              <w:t>da</w:t>
            </w:r>
          </w:p>
        </w:tc>
        <w:tc>
          <w:tcPr>
            <w:tcW w:w="1340" w:type="dxa"/>
            <w:vAlign w:val="bottom"/>
          </w:tcPr>
          <w:p>
            <w:pPr>
              <w:ind w:left="120"/>
              <w:spacing w:after="0"/>
              <w:rPr>
                <w:sz w:val="20"/>
                <w:szCs w:val="20"/>
                <w:color w:val="auto"/>
              </w:rPr>
            </w:pPr>
            <w:r>
              <w:rPr>
                <w:rFonts w:ascii="Calibri" w:cs="Calibri" w:eastAsia="Calibri" w:hAnsi="Calibri"/>
                <w:sz w:val="20"/>
                <w:szCs w:val="20"/>
                <w:color w:val="auto"/>
              </w:rPr>
              <w:t>fondo  (lordo</w:t>
            </w:r>
          </w:p>
        </w:tc>
        <w:tc>
          <w:tcPr>
            <w:tcW w:w="1280" w:type="dxa"/>
            <w:vAlign w:val="bottom"/>
          </w:tcPr>
          <w:p>
            <w:pPr>
              <w:ind w:left="100"/>
              <w:spacing w:after="0"/>
              <w:rPr>
                <w:sz w:val="20"/>
                <w:szCs w:val="20"/>
                <w:color w:val="auto"/>
              </w:rPr>
            </w:pPr>
            <w:r>
              <w:rPr>
                <w:rFonts w:ascii="Calibri" w:cs="Calibri" w:eastAsia="Calibri" w:hAnsi="Calibri"/>
                <w:sz w:val="20"/>
                <w:szCs w:val="20"/>
                <w:color w:val="auto"/>
              </w:rPr>
              <w:t>ripartito</w:t>
            </w:r>
          </w:p>
        </w:tc>
        <w:tc>
          <w:tcPr>
            <w:tcW w:w="1180" w:type="dxa"/>
            <w:vAlign w:val="bottom"/>
          </w:tcPr>
          <w:p>
            <w:pPr>
              <w:ind w:left="100"/>
              <w:spacing w:after="0"/>
              <w:rPr>
                <w:sz w:val="20"/>
                <w:szCs w:val="20"/>
                <w:color w:val="auto"/>
              </w:rPr>
            </w:pPr>
            <w:r>
              <w:rPr>
                <w:rFonts w:ascii="Calibri" w:cs="Calibri" w:eastAsia="Calibri" w:hAnsi="Calibri"/>
                <w:sz w:val="20"/>
                <w:szCs w:val="20"/>
                <w:color w:val="auto"/>
              </w:rPr>
              <w:t>intervenute</w:t>
            </w:r>
          </w:p>
        </w:tc>
      </w:tr>
      <w:tr>
        <w:trPr>
          <w:trHeight w:val="245"/>
        </w:trPr>
        <w:tc>
          <w:tcPr>
            <w:tcW w:w="110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380" w:type="dxa"/>
            <w:vAlign w:val="bottom"/>
          </w:tcPr>
          <w:p>
            <w:pPr>
              <w:ind w:left="160"/>
              <w:spacing w:after="0"/>
              <w:rPr>
                <w:sz w:val="20"/>
                <w:szCs w:val="20"/>
                <w:color w:val="auto"/>
              </w:rPr>
            </w:pPr>
            <w:r>
              <w:rPr>
                <w:rFonts w:ascii="Calibri" w:cs="Calibri" w:eastAsia="Calibri" w:hAnsi="Calibri"/>
                <w:sz w:val="20"/>
                <w:szCs w:val="20"/>
                <w:color w:val="auto"/>
              </w:rPr>
              <w:t>(lordo</w:t>
            </w:r>
          </w:p>
        </w:tc>
        <w:tc>
          <w:tcPr>
            <w:tcW w:w="1100" w:type="dxa"/>
            <w:vAlign w:val="bottom"/>
          </w:tcPr>
          <w:p>
            <w:pPr>
              <w:ind w:left="160"/>
              <w:spacing w:after="0"/>
              <w:rPr>
                <w:sz w:val="20"/>
                <w:szCs w:val="20"/>
                <w:color w:val="auto"/>
              </w:rPr>
            </w:pPr>
            <w:r>
              <w:rPr>
                <w:rFonts w:ascii="Calibri" w:cs="Calibri" w:eastAsia="Calibri" w:hAnsi="Calibri"/>
                <w:sz w:val="20"/>
                <w:szCs w:val="20"/>
                <w:color w:val="auto"/>
              </w:rPr>
              <w:t>svolti</w:t>
            </w:r>
          </w:p>
        </w:tc>
        <w:tc>
          <w:tcPr>
            <w:tcW w:w="1040" w:type="dxa"/>
            <w:vAlign w:val="bottom"/>
          </w:tcPr>
          <w:p>
            <w:pPr>
              <w:ind w:left="120"/>
              <w:spacing w:after="0"/>
              <w:rPr>
                <w:sz w:val="20"/>
                <w:szCs w:val="20"/>
                <w:color w:val="auto"/>
              </w:rPr>
            </w:pPr>
            <w:r>
              <w:rPr>
                <w:rFonts w:ascii="Calibri" w:cs="Calibri" w:eastAsia="Calibri" w:hAnsi="Calibri"/>
                <w:sz w:val="20"/>
                <w:szCs w:val="20"/>
                <w:color w:val="auto"/>
              </w:rPr>
              <w:t>sottrarre</w:t>
            </w:r>
          </w:p>
        </w:tc>
        <w:tc>
          <w:tcPr>
            <w:tcW w:w="1340" w:type="dxa"/>
            <w:vAlign w:val="bottom"/>
          </w:tcPr>
          <w:p>
            <w:pPr>
              <w:ind w:left="120"/>
              <w:spacing w:after="0"/>
              <w:rPr>
                <w:sz w:val="20"/>
                <w:szCs w:val="20"/>
                <w:color w:val="auto"/>
              </w:rPr>
            </w:pPr>
            <w:r>
              <w:rPr>
                <w:rFonts w:ascii="Calibri" w:cs="Calibri" w:eastAsia="Calibri" w:hAnsi="Calibri"/>
                <w:sz w:val="20"/>
                <w:szCs w:val="20"/>
                <w:color w:val="auto"/>
              </w:rPr>
              <w:t>dipendente)</w:t>
            </w:r>
          </w:p>
        </w:tc>
        <w:tc>
          <w:tcPr>
            <w:tcW w:w="1280" w:type="dxa"/>
            <w:vAlign w:val="bottom"/>
          </w:tcPr>
          <w:p>
            <w:pPr>
              <w:ind w:left="100"/>
              <w:spacing w:after="0"/>
              <w:rPr>
                <w:sz w:val="20"/>
                <w:szCs w:val="20"/>
                <w:color w:val="auto"/>
              </w:rPr>
            </w:pPr>
            <w:r>
              <w:rPr>
                <w:rFonts w:ascii="Calibri" w:cs="Calibri" w:eastAsia="Calibri" w:hAnsi="Calibri"/>
                <w:sz w:val="20"/>
                <w:szCs w:val="20"/>
                <w:color w:val="auto"/>
              </w:rPr>
              <w:t>(lordo</w:t>
            </w:r>
          </w:p>
        </w:tc>
        <w:tc>
          <w:tcPr>
            <w:tcW w:w="1180" w:type="dxa"/>
            <w:vAlign w:val="bottom"/>
          </w:tcPr>
          <w:p>
            <w:pPr>
              <w:spacing w:after="0"/>
              <w:rPr>
                <w:sz w:val="21"/>
                <w:szCs w:val="21"/>
                <w:color w:val="auto"/>
              </w:rPr>
            </w:pPr>
          </w:p>
        </w:tc>
      </w:tr>
      <w:tr>
        <w:trPr>
          <w:trHeight w:val="245"/>
        </w:trPr>
        <w:tc>
          <w:tcPr>
            <w:tcW w:w="110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380" w:type="dxa"/>
            <w:vAlign w:val="bottom"/>
          </w:tcPr>
          <w:p>
            <w:pPr>
              <w:ind w:left="160"/>
              <w:spacing w:after="0"/>
              <w:rPr>
                <w:sz w:val="20"/>
                <w:szCs w:val="20"/>
                <w:color w:val="auto"/>
              </w:rPr>
            </w:pPr>
            <w:r>
              <w:rPr>
                <w:rFonts w:ascii="Calibri" w:cs="Calibri" w:eastAsia="Calibri" w:hAnsi="Calibri"/>
                <w:sz w:val="20"/>
                <w:szCs w:val="20"/>
                <w:color w:val="auto"/>
              </w:rPr>
              <w:t>dipendente)</w:t>
            </w:r>
          </w:p>
        </w:tc>
        <w:tc>
          <w:tcPr>
            <w:tcW w:w="1100" w:type="dxa"/>
            <w:vAlign w:val="bottom"/>
          </w:tcPr>
          <w:p>
            <w:pPr>
              <w:spacing w:after="0"/>
              <w:rPr>
                <w:sz w:val="21"/>
                <w:szCs w:val="21"/>
                <w:color w:val="auto"/>
              </w:rPr>
            </w:pPr>
          </w:p>
        </w:tc>
        <w:tc>
          <w:tcPr>
            <w:tcW w:w="1040" w:type="dxa"/>
            <w:vAlign w:val="bottom"/>
          </w:tcPr>
          <w:p>
            <w:pPr>
              <w:ind w:left="120"/>
              <w:spacing w:after="0"/>
              <w:rPr>
                <w:sz w:val="20"/>
                <w:szCs w:val="20"/>
                <w:color w:val="auto"/>
              </w:rPr>
            </w:pPr>
            <w:r>
              <w:rPr>
                <w:rFonts w:ascii="Calibri" w:cs="Calibri" w:eastAsia="Calibri" w:hAnsi="Calibri"/>
                <w:sz w:val="20"/>
                <w:szCs w:val="20"/>
                <w:color w:val="auto"/>
              </w:rPr>
              <w:t>per</w:t>
            </w:r>
          </w:p>
        </w:tc>
        <w:tc>
          <w:tcPr>
            <w:tcW w:w="1340" w:type="dxa"/>
            <w:vAlign w:val="bottom"/>
          </w:tcPr>
          <w:p>
            <w:pPr>
              <w:spacing w:after="0"/>
              <w:rPr>
                <w:sz w:val="21"/>
                <w:szCs w:val="21"/>
                <w:color w:val="auto"/>
              </w:rPr>
            </w:pPr>
          </w:p>
        </w:tc>
        <w:tc>
          <w:tcPr>
            <w:tcW w:w="1280" w:type="dxa"/>
            <w:vAlign w:val="bottom"/>
          </w:tcPr>
          <w:p>
            <w:pPr>
              <w:ind w:left="100"/>
              <w:spacing w:after="0"/>
              <w:rPr>
                <w:sz w:val="20"/>
                <w:szCs w:val="20"/>
                <w:color w:val="auto"/>
              </w:rPr>
            </w:pPr>
            <w:r>
              <w:rPr>
                <w:rFonts w:ascii="Calibri" w:cs="Calibri" w:eastAsia="Calibri" w:hAnsi="Calibri"/>
                <w:sz w:val="20"/>
                <w:szCs w:val="20"/>
                <w:color w:val="auto"/>
              </w:rPr>
              <w:t>dipendente)</w:t>
            </w:r>
          </w:p>
        </w:tc>
        <w:tc>
          <w:tcPr>
            <w:tcW w:w="1180" w:type="dxa"/>
            <w:vAlign w:val="bottom"/>
          </w:tcPr>
          <w:p>
            <w:pPr>
              <w:spacing w:after="0"/>
              <w:rPr>
                <w:sz w:val="21"/>
                <w:szCs w:val="21"/>
                <w:color w:val="auto"/>
              </w:rPr>
            </w:pPr>
          </w:p>
        </w:tc>
      </w:tr>
      <w:tr>
        <w:trPr>
          <w:trHeight w:val="252"/>
        </w:trPr>
        <w:tc>
          <w:tcPr>
            <w:tcW w:w="110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38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040" w:type="dxa"/>
            <w:vAlign w:val="bottom"/>
          </w:tcPr>
          <w:p>
            <w:pPr>
              <w:ind w:left="120"/>
              <w:spacing w:after="0"/>
              <w:rPr>
                <w:sz w:val="20"/>
                <w:szCs w:val="20"/>
                <w:color w:val="auto"/>
              </w:rPr>
            </w:pPr>
            <w:r>
              <w:rPr>
                <w:rFonts w:ascii="Calibri" w:cs="Calibri" w:eastAsia="Calibri" w:hAnsi="Calibri"/>
                <w:sz w:val="20"/>
                <w:szCs w:val="20"/>
                <w:color w:val="auto"/>
              </w:rPr>
              <w:t>recupero</w:t>
            </w:r>
          </w:p>
        </w:tc>
        <w:tc>
          <w:tcPr>
            <w:tcW w:w="134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180" w:type="dxa"/>
            <w:vAlign w:val="bottom"/>
          </w:tcPr>
          <w:p>
            <w:pPr>
              <w:spacing w:after="0"/>
              <w:rPr>
                <w:sz w:val="21"/>
                <w:szCs w:val="21"/>
                <w:color w:val="auto"/>
              </w:rPr>
            </w:pPr>
          </w:p>
        </w:tc>
      </w:tr>
      <w:tr>
        <w:trPr>
          <w:trHeight w:val="113"/>
        </w:trPr>
        <w:tc>
          <w:tcPr>
            <w:tcW w:w="1100" w:type="dxa"/>
            <w:vAlign w:val="bottom"/>
            <w:tcBorders>
              <w:bottom w:val="single" w:sz="8" w:color="auto"/>
            </w:tcBorders>
          </w:tcPr>
          <w:p>
            <w:pPr>
              <w:spacing w:after="0"/>
              <w:rPr>
                <w:sz w:val="9"/>
                <w:szCs w:val="9"/>
                <w:color w:val="auto"/>
              </w:rPr>
            </w:pPr>
          </w:p>
        </w:tc>
        <w:tc>
          <w:tcPr>
            <w:tcW w:w="1100" w:type="dxa"/>
            <w:vAlign w:val="bottom"/>
            <w:tcBorders>
              <w:bottom w:val="single" w:sz="8" w:color="auto"/>
            </w:tcBorders>
          </w:tcPr>
          <w:p>
            <w:pPr>
              <w:spacing w:after="0"/>
              <w:rPr>
                <w:sz w:val="9"/>
                <w:szCs w:val="9"/>
                <w:color w:val="auto"/>
              </w:rPr>
            </w:pPr>
          </w:p>
        </w:tc>
        <w:tc>
          <w:tcPr>
            <w:tcW w:w="1380" w:type="dxa"/>
            <w:vAlign w:val="bottom"/>
            <w:tcBorders>
              <w:bottom w:val="single" w:sz="8" w:color="auto"/>
            </w:tcBorders>
          </w:tcPr>
          <w:p>
            <w:pPr>
              <w:spacing w:after="0"/>
              <w:rPr>
                <w:sz w:val="9"/>
                <w:szCs w:val="9"/>
                <w:color w:val="auto"/>
              </w:rPr>
            </w:pPr>
          </w:p>
        </w:tc>
        <w:tc>
          <w:tcPr>
            <w:tcW w:w="1100" w:type="dxa"/>
            <w:vAlign w:val="bottom"/>
            <w:tcBorders>
              <w:bottom w:val="single" w:sz="8" w:color="auto"/>
            </w:tcBorders>
          </w:tcPr>
          <w:p>
            <w:pPr>
              <w:spacing w:after="0"/>
              <w:rPr>
                <w:sz w:val="9"/>
                <w:szCs w:val="9"/>
                <w:color w:val="auto"/>
              </w:rPr>
            </w:pPr>
          </w:p>
        </w:tc>
        <w:tc>
          <w:tcPr>
            <w:tcW w:w="1040" w:type="dxa"/>
            <w:vAlign w:val="bottom"/>
            <w:tcBorders>
              <w:bottom w:val="single" w:sz="8" w:color="auto"/>
            </w:tcBorders>
          </w:tcPr>
          <w:p>
            <w:pPr>
              <w:spacing w:after="0"/>
              <w:rPr>
                <w:sz w:val="9"/>
                <w:szCs w:val="9"/>
                <w:color w:val="auto"/>
              </w:rPr>
            </w:pPr>
          </w:p>
        </w:tc>
        <w:tc>
          <w:tcPr>
            <w:tcW w:w="1340" w:type="dxa"/>
            <w:vAlign w:val="bottom"/>
            <w:tcBorders>
              <w:bottom w:val="single" w:sz="8" w:color="auto"/>
            </w:tcBorders>
          </w:tcPr>
          <w:p>
            <w:pPr>
              <w:spacing w:after="0"/>
              <w:rPr>
                <w:sz w:val="9"/>
                <w:szCs w:val="9"/>
                <w:color w:val="auto"/>
              </w:rPr>
            </w:pPr>
          </w:p>
        </w:tc>
        <w:tc>
          <w:tcPr>
            <w:tcW w:w="1280" w:type="dxa"/>
            <w:vAlign w:val="bottom"/>
            <w:tcBorders>
              <w:bottom w:val="single" w:sz="8" w:color="auto"/>
            </w:tcBorders>
          </w:tcPr>
          <w:p>
            <w:pPr>
              <w:spacing w:after="0"/>
              <w:rPr>
                <w:sz w:val="9"/>
                <w:szCs w:val="9"/>
                <w:color w:val="auto"/>
              </w:rPr>
            </w:pPr>
          </w:p>
        </w:tc>
        <w:tc>
          <w:tcPr>
            <w:tcW w:w="1180" w:type="dxa"/>
            <w:vAlign w:val="bottom"/>
            <w:tcBorders>
              <w:bottom w:val="single" w:sz="8" w:color="auto"/>
            </w:tcBorders>
          </w:tcPr>
          <w:p>
            <w:pPr>
              <w:spacing w:after="0"/>
              <w:rPr>
                <w:sz w:val="9"/>
                <w:szCs w:val="9"/>
                <w:color w:val="auto"/>
              </w:rPr>
            </w:pPr>
          </w:p>
        </w:tc>
      </w:tr>
      <w:tr>
        <w:trPr>
          <w:trHeight w:val="232"/>
        </w:trPr>
        <w:tc>
          <w:tcPr>
            <w:tcW w:w="1100" w:type="dxa"/>
            <w:vAlign w:val="bottom"/>
          </w:tcPr>
          <w:p>
            <w:pPr>
              <w:ind w:left="100"/>
              <w:spacing w:after="0" w:line="232" w:lineRule="exact"/>
              <w:rPr>
                <w:sz w:val="20"/>
                <w:szCs w:val="20"/>
                <w:color w:val="auto"/>
              </w:rPr>
            </w:pPr>
            <w:r>
              <w:rPr>
                <w:rFonts w:ascii="Calibri" w:cs="Calibri" w:eastAsia="Calibri" w:hAnsi="Calibri"/>
                <w:sz w:val="20"/>
                <w:szCs w:val="20"/>
                <w:color w:val="auto"/>
              </w:rPr>
              <w:t>a.s.</w:t>
            </w:r>
          </w:p>
        </w:tc>
        <w:tc>
          <w:tcPr>
            <w:tcW w:w="1100" w:type="dxa"/>
            <w:vAlign w:val="bottom"/>
          </w:tcPr>
          <w:p>
            <w:pPr>
              <w:ind w:left="100"/>
              <w:spacing w:after="0" w:line="232" w:lineRule="exact"/>
              <w:rPr>
                <w:sz w:val="20"/>
                <w:szCs w:val="20"/>
                <w:color w:val="auto"/>
              </w:rPr>
            </w:pPr>
            <w:r>
              <w:rPr>
                <w:rFonts w:ascii="Calibri" w:cs="Calibri" w:eastAsia="Calibri" w:hAnsi="Calibri"/>
                <w:sz w:val="20"/>
                <w:szCs w:val="20"/>
                <w:color w:val="auto"/>
              </w:rPr>
              <w:t>Certificato</w:t>
            </w:r>
          </w:p>
        </w:tc>
        <w:tc>
          <w:tcPr>
            <w:tcW w:w="1380" w:type="dxa"/>
            <w:vAlign w:val="bottom"/>
          </w:tcPr>
          <w:p>
            <w:pPr>
              <w:ind w:left="160"/>
              <w:spacing w:after="0" w:line="232" w:lineRule="exact"/>
              <w:rPr>
                <w:sz w:val="20"/>
                <w:szCs w:val="20"/>
                <w:color w:val="auto"/>
              </w:rPr>
            </w:pPr>
            <w:r>
              <w:rPr>
                <w:rFonts w:ascii="Calibri" w:cs="Calibri" w:eastAsia="Calibri" w:hAnsi="Calibri"/>
                <w:sz w:val="20"/>
                <w:szCs w:val="20"/>
                <w:color w:val="auto"/>
              </w:rPr>
              <w:t>3.358.813,29</w:t>
            </w:r>
          </w:p>
        </w:tc>
        <w:tc>
          <w:tcPr>
            <w:tcW w:w="1100" w:type="dxa"/>
            <w:vAlign w:val="bottom"/>
          </w:tcPr>
          <w:p>
            <w:pPr>
              <w:ind w:left="160"/>
              <w:spacing w:after="0" w:line="232" w:lineRule="exact"/>
              <w:rPr>
                <w:sz w:val="20"/>
                <w:szCs w:val="20"/>
                <w:color w:val="auto"/>
              </w:rPr>
            </w:pPr>
            <w:r>
              <w:rPr>
                <w:rFonts w:ascii="Calibri" w:cs="Calibri" w:eastAsia="Calibri" w:hAnsi="Calibri"/>
                <w:sz w:val="20"/>
                <w:szCs w:val="20"/>
                <w:color w:val="auto"/>
              </w:rPr>
              <w:t>175,00</w:t>
            </w:r>
          </w:p>
        </w:tc>
        <w:tc>
          <w:tcPr>
            <w:tcW w:w="1040" w:type="dxa"/>
            <w:vAlign w:val="bottom"/>
          </w:tcPr>
          <w:p>
            <w:pPr>
              <w:ind w:left="120"/>
              <w:spacing w:after="0" w:line="232" w:lineRule="exact"/>
              <w:rPr>
                <w:sz w:val="20"/>
                <w:szCs w:val="20"/>
                <w:color w:val="auto"/>
              </w:rPr>
            </w:pPr>
            <w:r>
              <w:rPr>
                <w:rFonts w:ascii="Calibri" w:cs="Calibri" w:eastAsia="Calibri" w:hAnsi="Calibri"/>
                <w:sz w:val="20"/>
                <w:szCs w:val="20"/>
                <w:color w:val="auto"/>
              </w:rPr>
              <w:t>0,00</w:t>
            </w:r>
          </w:p>
        </w:tc>
        <w:tc>
          <w:tcPr>
            <w:tcW w:w="1340" w:type="dxa"/>
            <w:vAlign w:val="bottom"/>
          </w:tcPr>
          <w:p>
            <w:pPr>
              <w:ind w:left="120"/>
              <w:spacing w:after="0" w:line="232" w:lineRule="exact"/>
              <w:rPr>
                <w:sz w:val="20"/>
                <w:szCs w:val="20"/>
                <w:color w:val="auto"/>
              </w:rPr>
            </w:pPr>
            <w:r>
              <w:rPr>
                <w:rFonts w:ascii="Calibri" w:cs="Calibri" w:eastAsia="Calibri" w:hAnsi="Calibri"/>
                <w:sz w:val="20"/>
                <w:szCs w:val="20"/>
                <w:color w:val="auto"/>
              </w:rPr>
              <w:t>3.358.988,29</w:t>
            </w:r>
          </w:p>
        </w:tc>
        <w:tc>
          <w:tcPr>
            <w:tcW w:w="1280" w:type="dxa"/>
            <w:vAlign w:val="bottom"/>
          </w:tcPr>
          <w:p>
            <w:pPr>
              <w:ind w:left="100"/>
              <w:spacing w:after="0" w:line="232" w:lineRule="exact"/>
              <w:rPr>
                <w:sz w:val="20"/>
                <w:szCs w:val="20"/>
                <w:color w:val="auto"/>
              </w:rPr>
            </w:pPr>
            <w:r>
              <w:rPr>
                <w:rFonts w:ascii="Calibri" w:cs="Calibri" w:eastAsia="Calibri" w:hAnsi="Calibri"/>
                <w:sz w:val="20"/>
                <w:szCs w:val="20"/>
                <w:color w:val="auto"/>
              </w:rPr>
              <w:t>3.358.988,29</w:t>
            </w:r>
          </w:p>
        </w:tc>
        <w:tc>
          <w:tcPr>
            <w:tcW w:w="1180" w:type="dxa"/>
            <w:vAlign w:val="bottom"/>
          </w:tcPr>
          <w:p>
            <w:pPr>
              <w:spacing w:after="0"/>
              <w:rPr>
                <w:sz w:val="20"/>
                <w:szCs w:val="20"/>
                <w:color w:val="auto"/>
              </w:rPr>
            </w:pPr>
          </w:p>
        </w:tc>
      </w:tr>
      <w:tr>
        <w:trPr>
          <w:trHeight w:val="252"/>
        </w:trPr>
        <w:tc>
          <w:tcPr>
            <w:tcW w:w="1100" w:type="dxa"/>
            <w:vAlign w:val="bottom"/>
          </w:tcPr>
          <w:p>
            <w:pPr>
              <w:ind w:left="100"/>
              <w:spacing w:after="0"/>
              <w:rPr>
                <w:sz w:val="20"/>
                <w:szCs w:val="20"/>
                <w:color w:val="auto"/>
              </w:rPr>
            </w:pPr>
            <w:r>
              <w:rPr>
                <w:rFonts w:ascii="Calibri" w:cs="Calibri" w:eastAsia="Calibri" w:hAnsi="Calibri"/>
                <w:sz w:val="20"/>
                <w:szCs w:val="20"/>
                <w:color w:val="auto"/>
              </w:rPr>
              <w:t>2012/2013</w:t>
            </w:r>
          </w:p>
        </w:tc>
        <w:tc>
          <w:tcPr>
            <w:tcW w:w="1100" w:type="dxa"/>
            <w:vAlign w:val="bottom"/>
          </w:tcPr>
          <w:p>
            <w:pPr>
              <w:ind w:left="100"/>
              <w:spacing w:after="0"/>
              <w:rPr>
                <w:sz w:val="20"/>
                <w:szCs w:val="20"/>
                <w:color w:val="auto"/>
              </w:rPr>
            </w:pPr>
            <w:r>
              <w:rPr>
                <w:rFonts w:ascii="Calibri" w:cs="Calibri" w:eastAsia="Calibri" w:hAnsi="Calibri"/>
                <w:sz w:val="20"/>
                <w:szCs w:val="20"/>
                <w:color w:val="auto"/>
              </w:rPr>
              <w:t>da UCB</w:t>
            </w:r>
          </w:p>
        </w:tc>
        <w:tc>
          <w:tcPr>
            <w:tcW w:w="138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34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180" w:type="dxa"/>
            <w:vAlign w:val="bottom"/>
          </w:tcPr>
          <w:p>
            <w:pPr>
              <w:spacing w:after="0"/>
              <w:rPr>
                <w:sz w:val="21"/>
                <w:szCs w:val="21"/>
                <w:color w:val="auto"/>
              </w:rPr>
            </w:pPr>
          </w:p>
        </w:tc>
      </w:tr>
      <w:tr>
        <w:trPr>
          <w:trHeight w:val="115"/>
        </w:trPr>
        <w:tc>
          <w:tcPr>
            <w:tcW w:w="1100" w:type="dxa"/>
            <w:vAlign w:val="bottom"/>
            <w:tcBorders>
              <w:bottom w:val="single" w:sz="8" w:color="auto"/>
            </w:tcBorders>
          </w:tcPr>
          <w:p>
            <w:pPr>
              <w:spacing w:after="0"/>
              <w:rPr>
                <w:sz w:val="10"/>
                <w:szCs w:val="10"/>
                <w:color w:val="auto"/>
              </w:rPr>
            </w:pPr>
          </w:p>
        </w:tc>
        <w:tc>
          <w:tcPr>
            <w:tcW w:w="1100" w:type="dxa"/>
            <w:vAlign w:val="bottom"/>
            <w:tcBorders>
              <w:bottom w:val="single" w:sz="8" w:color="auto"/>
            </w:tcBorders>
          </w:tcPr>
          <w:p>
            <w:pPr>
              <w:spacing w:after="0"/>
              <w:rPr>
                <w:sz w:val="10"/>
                <w:szCs w:val="10"/>
                <w:color w:val="auto"/>
              </w:rPr>
            </w:pPr>
          </w:p>
        </w:tc>
        <w:tc>
          <w:tcPr>
            <w:tcW w:w="1380" w:type="dxa"/>
            <w:vAlign w:val="bottom"/>
            <w:tcBorders>
              <w:bottom w:val="single" w:sz="8" w:color="auto"/>
            </w:tcBorders>
          </w:tcPr>
          <w:p>
            <w:pPr>
              <w:spacing w:after="0"/>
              <w:rPr>
                <w:sz w:val="10"/>
                <w:szCs w:val="10"/>
                <w:color w:val="auto"/>
              </w:rPr>
            </w:pPr>
          </w:p>
        </w:tc>
        <w:tc>
          <w:tcPr>
            <w:tcW w:w="1100" w:type="dxa"/>
            <w:vAlign w:val="bottom"/>
            <w:tcBorders>
              <w:bottom w:val="single" w:sz="8" w:color="auto"/>
            </w:tcBorders>
          </w:tcPr>
          <w:p>
            <w:pPr>
              <w:spacing w:after="0"/>
              <w:rPr>
                <w:sz w:val="10"/>
                <w:szCs w:val="10"/>
                <w:color w:val="auto"/>
              </w:rPr>
            </w:pPr>
          </w:p>
        </w:tc>
        <w:tc>
          <w:tcPr>
            <w:tcW w:w="1040" w:type="dxa"/>
            <w:vAlign w:val="bottom"/>
            <w:tcBorders>
              <w:bottom w:val="single" w:sz="8" w:color="auto"/>
            </w:tcBorders>
          </w:tcPr>
          <w:p>
            <w:pPr>
              <w:spacing w:after="0"/>
              <w:rPr>
                <w:sz w:val="10"/>
                <w:szCs w:val="10"/>
                <w:color w:val="auto"/>
              </w:rPr>
            </w:pPr>
          </w:p>
        </w:tc>
        <w:tc>
          <w:tcPr>
            <w:tcW w:w="1340" w:type="dxa"/>
            <w:vAlign w:val="bottom"/>
            <w:tcBorders>
              <w:bottom w:val="single" w:sz="8" w:color="auto"/>
            </w:tcBorders>
          </w:tcPr>
          <w:p>
            <w:pPr>
              <w:spacing w:after="0"/>
              <w:rPr>
                <w:sz w:val="10"/>
                <w:szCs w:val="10"/>
                <w:color w:val="auto"/>
              </w:rPr>
            </w:pPr>
          </w:p>
        </w:tc>
        <w:tc>
          <w:tcPr>
            <w:tcW w:w="1280" w:type="dxa"/>
            <w:vAlign w:val="bottom"/>
            <w:tcBorders>
              <w:bottom w:val="single" w:sz="8" w:color="auto"/>
            </w:tcBorders>
          </w:tcPr>
          <w:p>
            <w:pPr>
              <w:spacing w:after="0"/>
              <w:rPr>
                <w:sz w:val="10"/>
                <w:szCs w:val="10"/>
                <w:color w:val="auto"/>
              </w:rPr>
            </w:pPr>
          </w:p>
        </w:tc>
        <w:tc>
          <w:tcPr>
            <w:tcW w:w="1180" w:type="dxa"/>
            <w:vAlign w:val="bottom"/>
            <w:tcBorders>
              <w:bottom w:val="single" w:sz="8" w:color="auto"/>
            </w:tcBorders>
          </w:tcPr>
          <w:p>
            <w:pPr>
              <w:spacing w:after="0"/>
              <w:rPr>
                <w:sz w:val="10"/>
                <w:szCs w:val="10"/>
                <w:color w:val="auto"/>
              </w:rPr>
            </w:pPr>
          </w:p>
        </w:tc>
      </w:tr>
      <w:tr>
        <w:trPr>
          <w:trHeight w:val="232"/>
        </w:trPr>
        <w:tc>
          <w:tcPr>
            <w:tcW w:w="1100" w:type="dxa"/>
            <w:vAlign w:val="bottom"/>
          </w:tcPr>
          <w:p>
            <w:pPr>
              <w:ind w:left="100"/>
              <w:spacing w:after="0" w:line="232" w:lineRule="exact"/>
              <w:rPr>
                <w:sz w:val="20"/>
                <w:szCs w:val="20"/>
                <w:color w:val="auto"/>
              </w:rPr>
            </w:pPr>
            <w:r>
              <w:rPr>
                <w:rFonts w:ascii="Calibri" w:cs="Calibri" w:eastAsia="Calibri" w:hAnsi="Calibri"/>
                <w:sz w:val="20"/>
                <w:szCs w:val="20"/>
                <w:color w:val="auto"/>
              </w:rPr>
              <w:t>a.s.</w:t>
            </w:r>
          </w:p>
        </w:tc>
        <w:tc>
          <w:tcPr>
            <w:tcW w:w="1100" w:type="dxa"/>
            <w:vAlign w:val="bottom"/>
          </w:tcPr>
          <w:p>
            <w:pPr>
              <w:ind w:left="100"/>
              <w:spacing w:after="0" w:line="232" w:lineRule="exact"/>
              <w:rPr>
                <w:sz w:val="20"/>
                <w:szCs w:val="20"/>
                <w:color w:val="auto"/>
              </w:rPr>
            </w:pPr>
            <w:r>
              <w:rPr>
                <w:rFonts w:ascii="Calibri" w:cs="Calibri" w:eastAsia="Calibri" w:hAnsi="Calibri"/>
                <w:sz w:val="20"/>
                <w:szCs w:val="20"/>
                <w:color w:val="auto"/>
              </w:rPr>
              <w:t>Ipotesi</w:t>
            </w:r>
          </w:p>
        </w:tc>
        <w:tc>
          <w:tcPr>
            <w:tcW w:w="1380" w:type="dxa"/>
            <w:vAlign w:val="bottom"/>
          </w:tcPr>
          <w:p>
            <w:pPr>
              <w:ind w:left="160"/>
              <w:spacing w:after="0" w:line="232" w:lineRule="exact"/>
              <w:rPr>
                <w:sz w:val="20"/>
                <w:szCs w:val="20"/>
                <w:color w:val="auto"/>
              </w:rPr>
            </w:pPr>
            <w:r>
              <w:rPr>
                <w:rFonts w:ascii="Calibri" w:cs="Calibri" w:eastAsia="Calibri" w:hAnsi="Calibri"/>
                <w:sz w:val="20"/>
                <w:szCs w:val="20"/>
                <w:color w:val="auto"/>
              </w:rPr>
              <w:t>2.826.123,10</w:t>
            </w:r>
          </w:p>
        </w:tc>
        <w:tc>
          <w:tcPr>
            <w:tcW w:w="1100" w:type="dxa"/>
            <w:vAlign w:val="bottom"/>
          </w:tcPr>
          <w:p>
            <w:pPr>
              <w:ind w:left="160"/>
              <w:spacing w:after="0" w:line="232" w:lineRule="exact"/>
              <w:rPr>
                <w:sz w:val="20"/>
                <w:szCs w:val="20"/>
                <w:color w:val="auto"/>
              </w:rPr>
            </w:pPr>
            <w:r>
              <w:rPr>
                <w:rFonts w:ascii="Calibri" w:cs="Calibri" w:eastAsia="Calibri" w:hAnsi="Calibri"/>
                <w:sz w:val="20"/>
                <w:szCs w:val="20"/>
                <w:color w:val="auto"/>
              </w:rPr>
              <w:t>18.395,10</w:t>
            </w:r>
          </w:p>
        </w:tc>
        <w:tc>
          <w:tcPr>
            <w:tcW w:w="1040" w:type="dxa"/>
            <w:vAlign w:val="bottom"/>
          </w:tcPr>
          <w:p>
            <w:pPr>
              <w:ind w:left="120"/>
              <w:spacing w:after="0" w:line="232" w:lineRule="exact"/>
              <w:rPr>
                <w:sz w:val="20"/>
                <w:szCs w:val="20"/>
                <w:color w:val="auto"/>
              </w:rPr>
            </w:pPr>
            <w:r>
              <w:rPr>
                <w:rFonts w:ascii="Calibri" w:cs="Calibri" w:eastAsia="Calibri" w:hAnsi="Calibri"/>
                <w:sz w:val="20"/>
                <w:szCs w:val="20"/>
                <w:color w:val="auto"/>
              </w:rPr>
              <w:t>10.496,84</w:t>
            </w:r>
          </w:p>
        </w:tc>
        <w:tc>
          <w:tcPr>
            <w:tcW w:w="1340" w:type="dxa"/>
            <w:vAlign w:val="bottom"/>
          </w:tcPr>
          <w:p>
            <w:pPr>
              <w:ind w:left="120"/>
              <w:spacing w:after="0" w:line="232" w:lineRule="exact"/>
              <w:rPr>
                <w:sz w:val="20"/>
                <w:szCs w:val="20"/>
                <w:color w:val="auto"/>
              </w:rPr>
            </w:pPr>
            <w:r>
              <w:rPr>
                <w:rFonts w:ascii="Calibri" w:cs="Calibri" w:eastAsia="Calibri" w:hAnsi="Calibri"/>
                <w:sz w:val="20"/>
                <w:szCs w:val="20"/>
                <w:color w:val="auto"/>
              </w:rPr>
              <w:t>2.834.021,36</w:t>
            </w:r>
          </w:p>
        </w:tc>
        <w:tc>
          <w:tcPr>
            <w:tcW w:w="1280" w:type="dxa"/>
            <w:vAlign w:val="bottom"/>
          </w:tcPr>
          <w:p>
            <w:pPr>
              <w:ind w:left="100"/>
              <w:spacing w:after="0" w:line="232" w:lineRule="exact"/>
              <w:rPr>
                <w:sz w:val="20"/>
                <w:szCs w:val="20"/>
                <w:color w:val="auto"/>
              </w:rPr>
            </w:pPr>
            <w:r>
              <w:rPr>
                <w:rFonts w:ascii="Calibri" w:cs="Calibri" w:eastAsia="Calibri" w:hAnsi="Calibri"/>
                <w:sz w:val="20"/>
                <w:szCs w:val="20"/>
                <w:color w:val="auto"/>
              </w:rPr>
              <w:t>2.834.021,36</w:t>
            </w:r>
          </w:p>
        </w:tc>
        <w:tc>
          <w:tcPr>
            <w:tcW w:w="1180" w:type="dxa"/>
            <w:vAlign w:val="bottom"/>
          </w:tcPr>
          <w:p>
            <w:pPr>
              <w:ind w:left="100"/>
              <w:spacing w:after="0" w:line="232" w:lineRule="exact"/>
              <w:rPr>
                <w:sz w:val="20"/>
                <w:szCs w:val="20"/>
                <w:color w:val="auto"/>
              </w:rPr>
            </w:pPr>
            <w:r>
              <w:rPr>
                <w:rFonts w:ascii="Calibri" w:cs="Calibri" w:eastAsia="Calibri" w:hAnsi="Calibri"/>
                <w:sz w:val="20"/>
                <w:szCs w:val="20"/>
                <w:color w:val="auto"/>
              </w:rPr>
              <w:t>524.966,93</w:t>
            </w:r>
          </w:p>
        </w:tc>
      </w:tr>
      <w:tr>
        <w:trPr>
          <w:trHeight w:val="252"/>
        </w:trPr>
        <w:tc>
          <w:tcPr>
            <w:tcW w:w="1100" w:type="dxa"/>
            <w:vAlign w:val="bottom"/>
          </w:tcPr>
          <w:p>
            <w:pPr>
              <w:ind w:left="100"/>
              <w:spacing w:after="0"/>
              <w:rPr>
                <w:sz w:val="20"/>
                <w:szCs w:val="20"/>
                <w:color w:val="auto"/>
              </w:rPr>
            </w:pPr>
            <w:r>
              <w:rPr>
                <w:rFonts w:ascii="Calibri" w:cs="Calibri" w:eastAsia="Calibri" w:hAnsi="Calibri"/>
                <w:sz w:val="20"/>
                <w:szCs w:val="20"/>
                <w:color w:val="auto"/>
              </w:rPr>
              <w:t>2013/2014</w:t>
            </w:r>
          </w:p>
        </w:tc>
        <w:tc>
          <w:tcPr>
            <w:tcW w:w="1100" w:type="dxa"/>
            <w:vAlign w:val="bottom"/>
          </w:tcPr>
          <w:p>
            <w:pPr>
              <w:spacing w:after="0"/>
              <w:rPr>
                <w:sz w:val="21"/>
                <w:szCs w:val="21"/>
                <w:color w:val="auto"/>
              </w:rPr>
            </w:pPr>
          </w:p>
        </w:tc>
        <w:tc>
          <w:tcPr>
            <w:tcW w:w="138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1040" w:type="dxa"/>
            <w:vAlign w:val="bottom"/>
          </w:tcPr>
          <w:p>
            <w:pPr>
              <w:spacing w:after="0"/>
              <w:rPr>
                <w:sz w:val="21"/>
                <w:szCs w:val="21"/>
                <w:color w:val="auto"/>
              </w:rPr>
            </w:pPr>
          </w:p>
        </w:tc>
        <w:tc>
          <w:tcPr>
            <w:tcW w:w="1340" w:type="dxa"/>
            <w:vAlign w:val="bottom"/>
          </w:tcPr>
          <w:p>
            <w:pPr>
              <w:spacing w:after="0"/>
              <w:rPr>
                <w:sz w:val="21"/>
                <w:szCs w:val="21"/>
                <w:color w:val="auto"/>
              </w:rPr>
            </w:pPr>
          </w:p>
        </w:tc>
        <w:tc>
          <w:tcPr>
            <w:tcW w:w="1280" w:type="dxa"/>
            <w:vAlign w:val="bottom"/>
          </w:tcPr>
          <w:p>
            <w:pPr>
              <w:spacing w:after="0"/>
              <w:rPr>
                <w:sz w:val="21"/>
                <w:szCs w:val="21"/>
                <w:color w:val="auto"/>
              </w:rPr>
            </w:pPr>
          </w:p>
        </w:tc>
        <w:tc>
          <w:tcPr>
            <w:tcW w:w="1180" w:type="dxa"/>
            <w:vAlign w:val="bottom"/>
          </w:tcPr>
          <w:p>
            <w:pPr>
              <w:spacing w:after="0"/>
              <w:rPr>
                <w:sz w:val="21"/>
                <w:szCs w:val="21"/>
                <w:color w:val="auto"/>
              </w:rPr>
            </w:pPr>
          </w:p>
        </w:tc>
      </w:tr>
    </w:tbl>
    <w:p>
      <w:pPr>
        <w:spacing w:after="0" w:line="118"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-5715</wp:posOffset>
                </wp:positionH>
                <wp:positionV relativeFrom="paragraph">
                  <wp:posOffset>75565</wp:posOffset>
                </wp:positionV>
                <wp:extent cx="604647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46470" cy="0"/>
                        </a:xfrm>
                        <a:prstGeom prst="line">
                          <a:avLst/>
                        </a:prstGeom>
                        <a:solidFill>
                          <a:srgbClr val="FFFFFF"/>
                        </a:solidFill>
                        <a:ln w="6108">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499pt,5.95pt" to="475.65pt,5.95pt" o:allowincell="f" strokecolor="#000000" strokeweight="0.4809pt"/>
            </w:pict>
          </mc:Fallback>
        </mc:AlternateContent>
      </w:r>
    </w:p>
    <w:p>
      <w:pPr>
        <w:ind w:left="100" w:right="4680"/>
        <w:spacing w:after="0" w:line="346" w:lineRule="auto"/>
        <w:rPr>
          <w:sz w:val="20"/>
          <w:szCs w:val="20"/>
          <w:color w:val="auto"/>
        </w:rPr>
      </w:pPr>
      <w:r>
        <w:rPr>
          <w:rFonts w:ascii="Calibri" w:cs="Calibri" w:eastAsia="Calibri" w:hAnsi="Calibri"/>
          <w:sz w:val="22"/>
          <w:szCs w:val="22"/>
          <w:color w:val="auto"/>
        </w:rPr>
        <w:t>La variazione intervenuta di € 524.966,93 è dovuta : -€ 532.690,19 per minore assegnazione Ministeriale</w:t>
      </w:r>
    </w:p>
    <w:p>
      <w:pPr>
        <w:spacing w:after="0" w:line="1" w:lineRule="exact"/>
        <w:rPr>
          <w:sz w:val="20"/>
          <w:szCs w:val="20"/>
          <w:color w:val="auto"/>
        </w:rPr>
      </w:pPr>
    </w:p>
    <w:p>
      <w:pPr>
        <w:jc w:val="both"/>
        <w:ind w:left="220" w:hanging="117"/>
        <w:spacing w:after="0"/>
        <w:tabs>
          <w:tab w:leader="none" w:pos="220" w:val="left"/>
        </w:tabs>
        <w:numPr>
          <w:ilvl w:val="0"/>
          <w:numId w:val="9"/>
        </w:numPr>
        <w:rPr>
          <w:rFonts w:ascii="Calibri" w:cs="Calibri" w:eastAsia="Calibri" w:hAnsi="Calibri"/>
          <w:sz w:val="22"/>
          <w:szCs w:val="22"/>
          <w:color w:val="auto"/>
        </w:rPr>
      </w:pPr>
      <w:r>
        <w:rPr>
          <w:rFonts w:ascii="Calibri" w:cs="Calibri" w:eastAsia="Calibri" w:hAnsi="Calibri"/>
          <w:sz w:val="22"/>
          <w:szCs w:val="22"/>
          <w:color w:val="auto"/>
        </w:rPr>
        <w:t>€ 18.220,10 per maggiori incarichi svolti</w:t>
      </w:r>
    </w:p>
    <w:p>
      <w:pPr>
        <w:spacing w:after="0" w:line="120" w:lineRule="exact"/>
        <w:rPr>
          <w:rFonts w:ascii="Calibri" w:cs="Calibri" w:eastAsia="Calibri" w:hAnsi="Calibri"/>
          <w:sz w:val="22"/>
          <w:szCs w:val="22"/>
          <w:color w:val="auto"/>
        </w:rPr>
      </w:pPr>
    </w:p>
    <w:p>
      <w:pPr>
        <w:jc w:val="both"/>
        <w:ind w:left="220" w:hanging="117"/>
        <w:spacing w:after="0"/>
        <w:tabs>
          <w:tab w:leader="none" w:pos="220" w:val="left"/>
        </w:tabs>
        <w:numPr>
          <w:ilvl w:val="0"/>
          <w:numId w:val="9"/>
        </w:numPr>
        <w:rPr>
          <w:rFonts w:ascii="Calibri" w:cs="Calibri" w:eastAsia="Calibri" w:hAnsi="Calibri"/>
          <w:sz w:val="22"/>
          <w:szCs w:val="22"/>
          <w:color w:val="auto"/>
        </w:rPr>
      </w:pPr>
      <w:r>
        <w:rPr>
          <w:rFonts w:ascii="Calibri" w:cs="Calibri" w:eastAsia="Calibri" w:hAnsi="Calibri"/>
          <w:sz w:val="22"/>
          <w:szCs w:val="22"/>
          <w:color w:val="auto"/>
        </w:rPr>
        <w:t>€ 10.496,84 per recupero</w:t>
      </w:r>
    </w:p>
    <w:p>
      <w:pPr>
        <w:spacing w:after="0" w:line="363" w:lineRule="exact"/>
        <w:rPr>
          <w:sz w:val="20"/>
          <w:szCs w:val="20"/>
          <w:color w:val="auto"/>
        </w:rPr>
      </w:pPr>
    </w:p>
    <w:p>
      <w:pPr>
        <w:jc w:val="both"/>
        <w:ind w:left="460" w:right="120" w:hanging="357"/>
        <w:spacing w:after="0" w:line="248" w:lineRule="auto"/>
        <w:rPr>
          <w:sz w:val="20"/>
          <w:szCs w:val="20"/>
          <w:color w:val="auto"/>
        </w:rPr>
      </w:pPr>
      <w:r>
        <w:rPr>
          <w:rFonts w:ascii="Calibri" w:cs="Calibri" w:eastAsia="Calibri" w:hAnsi="Calibri"/>
          <w:sz w:val="24"/>
          <w:szCs w:val="24"/>
          <w:b w:val="1"/>
          <w:bCs w:val="1"/>
          <w:i w:val="1"/>
          <w:iCs w:val="1"/>
          <w:color w:val="auto"/>
        </w:rPr>
        <w:t>I.4 - Modulo IV - Compatibilità economico-finanziaria e modalità di copertura degli oneri del Fondo con riferimento agli strumenti annuali e pluriennali di bilancio</w:t>
      </w:r>
    </w:p>
    <w:p>
      <w:pPr>
        <w:spacing w:after="0" w:line="36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46990</wp:posOffset>
                </wp:positionH>
                <wp:positionV relativeFrom="paragraph">
                  <wp:posOffset>6350</wp:posOffset>
                </wp:positionV>
                <wp:extent cx="5940425"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40425" cy="0"/>
                        </a:xfrm>
                        <a:prstGeom prst="line">
                          <a:avLst/>
                        </a:prstGeom>
                        <a:solidFill>
                          <a:srgbClr val="FFFFFF"/>
                        </a:solidFill>
                        <a:ln w="6095">
                          <a:solidFill>
                            <a:srgbClr val="C0C0C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7pt,0.5pt" to="471.45pt,0.5pt" o:allowincell="f" strokecolor="#C0C0C0" strokeweight="0.4799pt"/>
            </w:pict>
          </mc:Fallback>
        </mc:AlternateContent>
      </w:r>
    </w:p>
    <w:p>
      <w:pPr>
        <w:jc w:val="both"/>
        <w:ind w:left="460" w:right="120" w:hanging="357"/>
        <w:spacing w:after="0" w:line="246" w:lineRule="auto"/>
        <w:rPr>
          <w:sz w:val="20"/>
          <w:szCs w:val="20"/>
          <w:color w:val="auto"/>
        </w:rPr>
      </w:pPr>
      <w:r>
        <w:rPr>
          <w:rFonts w:ascii="Calibri" w:cs="Calibri" w:eastAsia="Calibri" w:hAnsi="Calibri"/>
          <w:sz w:val="24"/>
          <w:szCs w:val="24"/>
          <w:i w:val="1"/>
          <w:iCs w:val="1"/>
          <w:color w:val="auto"/>
        </w:rPr>
        <w:t>I.4.1 - Sezione I - Esposizione finalizzata alla verifica che gli strumenti della contabilità economico-finanziaria dell’Amministrazione presidiano correttamente i limiti di spesa del Fondo nella fase programmatoria della gestione</w:t>
      </w:r>
    </w:p>
    <w:p>
      <w:pPr>
        <w:spacing w:after="0" w:line="230" w:lineRule="exact"/>
        <w:rPr>
          <w:sz w:val="20"/>
          <w:szCs w:val="20"/>
          <w:color w:val="auto"/>
        </w:rPr>
      </w:pPr>
    </w:p>
    <w:p>
      <w:pPr>
        <w:ind w:left="66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341"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46990</wp:posOffset>
                </wp:positionH>
                <wp:positionV relativeFrom="paragraph">
                  <wp:posOffset>210820</wp:posOffset>
                </wp:positionV>
                <wp:extent cx="5940425"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40425" cy="0"/>
                        </a:xfrm>
                        <a:prstGeom prst="line">
                          <a:avLst/>
                        </a:prstGeom>
                        <a:solidFill>
                          <a:srgbClr val="FFFFFF"/>
                        </a:solidFill>
                        <a:ln w="3035">
                          <a:solidFill>
                            <a:srgbClr val="4F81BD"/>
                          </a:solidFill>
                          <a:miter lim="800000"/>
                          <a:headEnd/>
                          <a:tailEnd/>
                        </a:ln>
                      </wps:spPr>
                      <wps:bodyPr/>
                    </wps:wsp>
                  </a:graphicData>
                </a:graphic>
              </wp:anchor>
            </w:drawing>
          </mc:Choice>
          <mc:Fallback>
            <w:pict>
              <v:line id="Shape 23" o:spid="_x0000_s104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7pt,16.6pt" to="471.45pt,16.6pt" o:allowincell="f" strokecolor="#4F81BD" strokeweight="0.239pt"/>
            </w:pict>
          </mc:Fallback>
        </mc:AlternateContent>
      </w:r>
    </w:p>
    <w:p>
      <w:pPr>
        <w:ind w:left="9300"/>
        <w:spacing w:after="0"/>
        <w:rPr>
          <w:sz w:val="20"/>
          <w:szCs w:val="20"/>
          <w:color w:val="auto"/>
        </w:rPr>
      </w:pPr>
      <w:r>
        <w:rPr>
          <w:rFonts w:ascii="Calibri" w:cs="Calibri" w:eastAsia="Calibri" w:hAnsi="Calibri"/>
          <w:sz w:val="18"/>
          <w:szCs w:val="18"/>
          <w:i w:val="1"/>
          <w:iCs w:val="1"/>
          <w:color w:val="4F81BD"/>
        </w:rPr>
        <w:t>4</w:t>
      </w:r>
    </w:p>
    <w:p>
      <w:pPr>
        <w:sectPr>
          <w:pgSz w:w="11900" w:h="16838" w:orient="portrait"/>
          <w:cols w:equalWidth="0" w:num="1">
            <w:col w:w="9520"/>
          </w:cols>
          <w:pgMar w:left="1200" w:top="1440" w:right="1180" w:bottom="567" w:gutter="0" w:footer="0" w:header="0"/>
        </w:sectPr>
      </w:pPr>
    </w:p>
    <w:bookmarkStart w:id="4" w:name="page5"/>
    <w:bookmarkEnd w:id="4"/>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450215</wp:posOffset>
            </wp:positionV>
            <wp:extent cx="581025" cy="67627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ind w:left="52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9" w:lineRule="exact"/>
        <w:rPr>
          <w:sz w:val="20"/>
          <w:szCs w:val="20"/>
          <w:color w:val="auto"/>
        </w:rPr>
      </w:pPr>
    </w:p>
    <w:p>
      <w:pPr>
        <w:ind w:left="180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0"/>
          <w:szCs w:val="20"/>
          <w:color w:val="auto"/>
        </w:rPr>
      </w:pPr>
    </w:p>
    <w:p>
      <w:pPr>
        <w:ind w:left="252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354" w:lineRule="exact"/>
        <w:rPr>
          <w:sz w:val="20"/>
          <w:szCs w:val="20"/>
          <w:color w:val="auto"/>
        </w:rPr>
      </w:pPr>
    </w:p>
    <w:p>
      <w:pPr>
        <w:ind w:hanging="357"/>
        <w:spacing w:after="0" w:line="253" w:lineRule="auto"/>
        <w:rPr>
          <w:sz w:val="20"/>
          <w:szCs w:val="20"/>
          <w:color w:val="auto"/>
        </w:rPr>
      </w:pPr>
      <w:r>
        <w:rPr>
          <w:rFonts w:ascii="Calibri" w:cs="Calibri" w:eastAsia="Calibri" w:hAnsi="Calibri"/>
          <w:sz w:val="24"/>
          <w:szCs w:val="24"/>
          <w:i w:val="1"/>
          <w:iCs w:val="1"/>
          <w:color w:val="auto"/>
        </w:rPr>
        <w:t>I.4.2 - Sezione II - Esposizione finalizzata alla verifica a consuntivo che il limite di spesa del Fondo dell’anno precedente risulta rispettato</w:t>
      </w:r>
    </w:p>
    <w:p>
      <w:pPr>
        <w:spacing w:after="0" w:line="222" w:lineRule="exact"/>
        <w:rPr>
          <w:sz w:val="20"/>
          <w:szCs w:val="20"/>
          <w:color w:val="auto"/>
        </w:rPr>
      </w:pPr>
    </w:p>
    <w:p>
      <w:pPr>
        <w:ind w:left="20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228" w:lineRule="exact"/>
        <w:rPr>
          <w:sz w:val="20"/>
          <w:szCs w:val="20"/>
          <w:color w:val="auto"/>
        </w:rPr>
      </w:pPr>
    </w:p>
    <w:p>
      <w:pPr>
        <w:ind w:hanging="357"/>
        <w:spacing w:after="0" w:line="253" w:lineRule="auto"/>
        <w:rPr>
          <w:sz w:val="20"/>
          <w:szCs w:val="20"/>
          <w:color w:val="auto"/>
        </w:rPr>
      </w:pPr>
      <w:r>
        <w:rPr>
          <w:rFonts w:ascii="Calibri" w:cs="Calibri" w:eastAsia="Calibri" w:hAnsi="Calibri"/>
          <w:sz w:val="24"/>
          <w:szCs w:val="24"/>
          <w:i w:val="1"/>
          <w:iCs w:val="1"/>
          <w:color w:val="auto"/>
        </w:rPr>
        <w:t>I.4.3 - Sezione III - Verifica delle disponibilità finanziarie dell’Amministrazione ai fini della copertura delle diverse voci di destinazione del Fondo</w:t>
      </w:r>
    </w:p>
    <w:p>
      <w:pPr>
        <w:spacing w:after="0" w:line="220" w:lineRule="exact"/>
        <w:rPr>
          <w:sz w:val="20"/>
          <w:szCs w:val="20"/>
          <w:color w:val="auto"/>
        </w:rPr>
      </w:pPr>
    </w:p>
    <w:p>
      <w:pPr>
        <w:ind w:left="20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200" w:lineRule="exact"/>
        <w:rPr>
          <w:sz w:val="20"/>
          <w:szCs w:val="20"/>
          <w:color w:val="auto"/>
        </w:rPr>
      </w:pPr>
    </w:p>
    <w:p>
      <w:pPr>
        <w:spacing w:after="0" w:line="306" w:lineRule="exact"/>
        <w:rPr>
          <w:sz w:val="20"/>
          <w:szCs w:val="20"/>
          <w:color w:val="auto"/>
        </w:rPr>
      </w:pPr>
    </w:p>
    <w:p>
      <w:pPr>
        <w:ind w:left="5300"/>
        <w:spacing w:after="0"/>
        <w:rPr>
          <w:sz w:val="20"/>
          <w:szCs w:val="20"/>
          <w:color w:val="auto"/>
        </w:rPr>
      </w:pPr>
      <w:r>
        <w:rPr>
          <w:rFonts w:ascii="Calibri" w:cs="Calibri" w:eastAsia="Calibri" w:hAnsi="Calibri"/>
          <w:sz w:val="22"/>
          <w:szCs w:val="22"/>
          <w:color w:val="auto"/>
        </w:rPr>
        <w:t>IL DIRETTORE GENERALE</w:t>
      </w:r>
    </w:p>
    <w:p>
      <w:pPr>
        <w:spacing w:after="0" w:line="120" w:lineRule="exact"/>
        <w:rPr>
          <w:sz w:val="20"/>
          <w:szCs w:val="20"/>
          <w:color w:val="auto"/>
        </w:rPr>
      </w:pPr>
    </w:p>
    <w:p>
      <w:pPr>
        <w:ind w:left="5560"/>
        <w:spacing w:after="0"/>
        <w:rPr>
          <w:sz w:val="20"/>
          <w:szCs w:val="20"/>
          <w:color w:val="auto"/>
        </w:rPr>
      </w:pPr>
      <w:r>
        <w:rPr>
          <w:rFonts w:ascii="Calibri" w:cs="Calibri" w:eastAsia="Calibri" w:hAnsi="Calibri"/>
          <w:sz w:val="22"/>
          <w:szCs w:val="22"/>
          <w:color w:val="auto"/>
        </w:rPr>
        <w:t>Ernesto Pellecchia</w:t>
      </w:r>
    </w:p>
    <w:p>
      <w:pPr>
        <w:spacing w:after="0" w:line="295" w:lineRule="exact"/>
        <w:rPr>
          <w:sz w:val="20"/>
          <w:szCs w:val="20"/>
          <w:color w:val="auto"/>
        </w:rPr>
      </w:pPr>
    </w:p>
    <w:p>
      <w:pPr>
        <w:ind w:left="6560" w:right="1320"/>
        <w:spacing w:after="0" w:line="251" w:lineRule="auto"/>
        <w:rPr>
          <w:sz w:val="20"/>
          <w:szCs w:val="20"/>
          <w:color w:val="auto"/>
        </w:rPr>
      </w:pPr>
      <w:r>
        <w:rPr>
          <w:rFonts w:ascii="Arial" w:cs="Arial" w:eastAsia="Arial" w:hAnsi="Arial"/>
          <w:sz w:val="16"/>
          <w:szCs w:val="16"/>
          <w:color w:val="auto"/>
        </w:rPr>
        <w:t>Firmato digitalmente da Ernesto Pellecchia</w:t>
      </w:r>
    </w:p>
    <w:p>
      <w:pPr>
        <w:spacing w:after="0" w:line="3" w:lineRule="exact"/>
        <w:rPr>
          <w:sz w:val="20"/>
          <w:szCs w:val="20"/>
          <w:color w:val="auto"/>
        </w:rPr>
      </w:pPr>
    </w:p>
    <w:p>
      <w:pPr>
        <w:ind w:left="6560" w:right="1260"/>
        <w:spacing w:after="0" w:line="335" w:lineRule="auto"/>
        <w:rPr>
          <w:sz w:val="20"/>
          <w:szCs w:val="20"/>
          <w:color w:val="auto"/>
        </w:rPr>
      </w:pPr>
      <w:r>
        <w:rPr>
          <w:rFonts w:ascii="Arial" w:cs="Arial" w:eastAsia="Arial" w:hAnsi="Arial"/>
          <w:sz w:val="14"/>
          <w:szCs w:val="14"/>
          <w:color w:val="auto"/>
        </w:rPr>
        <w:t>Data: 2016.11.23 09:23:40 +01'00'</w:t>
      </w:r>
    </w:p>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-244475</wp:posOffset>
                </wp:positionH>
                <wp:positionV relativeFrom="paragraph">
                  <wp:posOffset>4034790</wp:posOffset>
                </wp:positionV>
                <wp:extent cx="5939790"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39790" cy="0"/>
                        </a:xfrm>
                        <a:prstGeom prst="line">
                          <a:avLst/>
                        </a:prstGeom>
                        <a:solidFill>
                          <a:srgbClr val="FFFFFF"/>
                        </a:solidFill>
                        <a:ln w="3035">
                          <a:solidFill>
                            <a:srgbClr val="4F81BD"/>
                          </a:solidFill>
                          <a:miter lim="800000"/>
                          <a:headEnd/>
                          <a:tailEnd/>
                        </a:ln>
                      </wps:spPr>
                      <wps:bodyPr/>
                    </wps:wsp>
                  </a:graphicData>
                </a:graphic>
              </wp:anchor>
            </w:drawing>
          </mc:Choice>
          <mc:Fallback>
            <w:pict>
              <v:line id="Shape 25" o:spid="_x0000_s105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9.2499pt,317.7pt" to="448.45pt,317.7pt" o:allowincell="f" strokecolor="#4F81BD" strokeweight="0.239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8840"/>
        <w:spacing w:after="0"/>
        <w:rPr>
          <w:sz w:val="20"/>
          <w:szCs w:val="20"/>
          <w:color w:val="auto"/>
        </w:rPr>
      </w:pPr>
      <w:r>
        <w:rPr>
          <w:rFonts w:ascii="Calibri" w:cs="Calibri" w:eastAsia="Calibri" w:hAnsi="Calibri"/>
          <w:sz w:val="18"/>
          <w:szCs w:val="18"/>
          <w:i w:val="1"/>
          <w:iCs w:val="1"/>
          <w:color w:val="4F81BD"/>
        </w:rPr>
        <w:t>5</w:t>
      </w:r>
    </w:p>
    <w:sectPr>
      <w:pgSz w:w="11900" w:h="16838" w:orient="portrait"/>
      <w:cols w:equalWidth="0" w:num="1">
        <w:col w:w="8940"/>
      </w:cols>
      <w:pgMar w:left="1660" w:top="1440" w:right="1300" w:bottom="567"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2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6E87CCD"/>
    <w:multiLevelType w:val="hybridMultilevel"/>
    <w:lvl w:ilvl="0">
      <w:lvlJc w:val="left"/>
      <w:lvlText w:val="-"/>
      <w:numFmt w:val="bullet"/>
      <w:start w:val="1"/>
    </w:lvl>
  </w:abstractNum>
  <w:abstractNum w:abstractNumId="1">
    <w:nsid w:val="3D1B58BA"/>
    <w:multiLevelType w:val="hybridMultilevel"/>
    <w:lvl w:ilvl="0">
      <w:lvlJc w:val="left"/>
      <w:lvlText w:val="-"/>
      <w:numFmt w:val="bullet"/>
      <w:start w:val="1"/>
    </w:lvl>
  </w:abstractNum>
  <w:abstractNum w:abstractNumId="2">
    <w:nsid w:val="507ED7AB"/>
    <w:multiLevelType w:val="hybridMultilevel"/>
    <w:lvl w:ilvl="0">
      <w:lvlJc w:val="left"/>
      <w:lvlText w:val="-"/>
      <w:numFmt w:val="bullet"/>
      <w:start w:val="1"/>
    </w:lvl>
  </w:abstractNum>
  <w:abstractNum w:abstractNumId="3">
    <w:nsid w:val="2EB141F2"/>
    <w:multiLevelType w:val="hybridMultilevel"/>
    <w:lvl w:ilvl="0">
      <w:lvlJc w:val="left"/>
      <w:lvlText w:val="%1)"/>
      <w:numFmt w:val="lowerLetter"/>
      <w:start w:val="2"/>
    </w:lvl>
    <w:lvl w:ilvl="1">
      <w:lvlJc w:val="left"/>
      <w:lvlText w:val="€"/>
      <w:numFmt w:val="bullet"/>
      <w:start w:val="1"/>
    </w:lvl>
  </w:abstractNum>
  <w:abstractNum w:abstractNumId="4">
    <w:nsid w:val="41B71EFB"/>
    <w:multiLevelType w:val="hybridMultilevel"/>
    <w:lvl w:ilvl="0">
      <w:lvlJc w:val="left"/>
      <w:lvlText w:val="-"/>
      <w:numFmt w:val="bullet"/>
      <w:start w:val="1"/>
    </w:lvl>
    <w:lvl w:ilvl="1">
      <w:lvlJc w:val="left"/>
      <w:lvlText w:val="€"/>
      <w:numFmt w:val="bullet"/>
      <w:start w:val="1"/>
    </w:lvl>
  </w:abstractNum>
  <w:abstractNum w:abstractNumId="5">
    <w:nsid w:val="79E2A9E3"/>
    <w:multiLevelType w:val="hybridMultilevel"/>
    <w:lvl w:ilvl="0">
      <w:lvlJc w:val="left"/>
      <w:lvlText w:val="-"/>
      <w:numFmt w:val="bullet"/>
      <w:start w:val="1"/>
    </w:lvl>
    <w:lvl w:ilvl="1">
      <w:lvlJc w:val="left"/>
      <w:lvlText w:val="€"/>
      <w:numFmt w:val="bullet"/>
      <w:start w:val="1"/>
    </w:lvl>
  </w:abstractNum>
  <w:abstractNum w:abstractNumId="6">
    <w:nsid w:val="7545E146"/>
    <w:multiLevelType w:val="hybridMultilevel"/>
    <w:lvl w:ilvl="0">
      <w:lvlJc w:val="left"/>
      <w:lvlText w:val="%1)"/>
      <w:numFmt w:val="lowerLetter"/>
      <w:start w:val="1"/>
    </w:lvl>
    <w:lvl w:ilvl="1">
      <w:lvlJc w:val="left"/>
      <w:lvlText w:val="€"/>
      <w:numFmt w:val="bullet"/>
      <w:start w:val="1"/>
    </w:lvl>
  </w:abstractNum>
  <w:abstractNum w:abstractNumId="7">
    <w:nsid w:val="515F007C"/>
    <w:multiLevelType w:val="hybridMultilevel"/>
    <w:lvl w:ilvl="0">
      <w:lvlJc w:val="left"/>
      <w:lvlText w:val="%1)"/>
      <w:numFmt w:val="lowerLetter"/>
      <w:start w:val="1"/>
    </w:lvl>
  </w:abstractNum>
  <w:abstractNum w:abstractNumId="8">
    <w:nsid w:val="5BD062C2"/>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2016-11-23T11:20:43Z</dcterms:created>
  <dcterms:modified xsi:type="dcterms:W3CDTF">2016-11-23T11:20:43Z</dcterms:modified>
</cp:coreProperties>
</file>